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jc w:val="center"/>
        <w:rPr>
          <w:rFonts w:eastAsia="Times New Roman"/>
          <w:lang w:val="fr-FR" w:eastAsia="fr-FR"/>
        </w:rPr>
      </w:pPr>
    </w:p>
    <w:p>
      <w:pPr>
        <w:spacing w:after="0" w:line="240" w:lineRule="auto"/>
        <w:jc w:val="center"/>
        <w:rPr>
          <w:rFonts w:eastAsia="Times New Roman"/>
          <w:lang w:val="fr-FR" w:eastAsia="fr-FR"/>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sz w:val="48"/>
          <w:szCs w:val="48"/>
        </w:rPr>
      </w:pPr>
    </w:p>
    <w:p>
      <w:pPr>
        <w:spacing w:after="0" w:line="240" w:lineRule="auto"/>
        <w:jc w:val="center"/>
        <w:rPr>
          <w:rFonts w:eastAsia="Times New Roman"/>
          <w:sz w:val="48"/>
          <w:szCs w:val="48"/>
          <w:lang w:val="fr-FR" w:eastAsia="fr-FR"/>
        </w:rPr>
      </w:pPr>
      <w:r>
        <w:rPr>
          <w:sz w:val="48"/>
          <w:szCs w:val="48"/>
        </w:rPr>
        <w:t>Demandes de dérogation et/ou d’autorisation relatives aux structures et à l’encadrement pour l’année scolaire 2024-2025</w:t>
      </w:r>
    </w:p>
    <w:p>
      <w:pPr>
        <w:spacing w:after="0" w:line="240" w:lineRule="auto"/>
        <w:jc w:val="center"/>
        <w:rPr>
          <w:rFonts w:eastAsia="Times New Roman"/>
          <w:sz w:val="48"/>
          <w:szCs w:val="48"/>
          <w:lang w:val="fr-FR" w:eastAsia="fr-FR"/>
        </w:rPr>
      </w:pPr>
    </w:p>
    <w:p>
      <w:pPr>
        <w:spacing w:after="0" w:line="240" w:lineRule="auto"/>
        <w:jc w:val="center"/>
        <w:rPr>
          <w:rFonts w:eastAsia="Times New Roman"/>
          <w:sz w:val="48"/>
          <w:szCs w:val="48"/>
          <w:lang w:val="fr-FR" w:eastAsia="fr-FR"/>
        </w:rPr>
      </w:pPr>
      <w:r>
        <w:rPr>
          <w:rFonts w:eastAsia="Times New Roman"/>
          <w:sz w:val="48"/>
          <w:szCs w:val="48"/>
          <w:lang w:val="fr-FR" w:eastAsia="fr-FR"/>
        </w:rPr>
        <w:t>ANNEXES</w:t>
      </w: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r>
        <w:rPr>
          <w:rFonts w:eastAsia="Times New Roman"/>
          <w:lang w:val="fr-FR" w:eastAsia="fr-FR"/>
        </w:rPr>
        <w:br w:type="page"/>
      </w:r>
    </w:p>
    <w:p>
      <w:pPr>
        <w:tabs>
          <w:tab w:val="left" w:pos="2835"/>
          <w:tab w:val="left" w:pos="3402"/>
        </w:tabs>
        <w:spacing w:after="0" w:line="240" w:lineRule="auto"/>
        <w:rPr>
          <w:rFonts w:eastAsia="Times New Roman"/>
          <w:i/>
          <w:lang w:val="fr-FR" w:eastAsia="fr-FR"/>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lang w:eastAsia="ar-SA"/>
              </w:rPr>
              <w:br w:type="page"/>
            </w:r>
            <w:r>
              <w:rPr>
                <w:rFonts w:eastAsia="Arial"/>
                <w:b/>
                <w:bCs/>
                <w:i/>
                <w:iCs/>
                <w:lang w:val="fr-FR" w:eastAsia="ar-SA"/>
              </w:rPr>
              <w:br w:type="page"/>
            </w:r>
            <w:r>
              <w:rPr>
                <w:rFonts w:eastAsia="Arial" w:cs="Arial"/>
                <w:b/>
                <w:lang w:val="fr-FR" w:eastAsia="ar-SA"/>
              </w:rPr>
              <w:t>Annexe 1</w:t>
            </w:r>
          </w:p>
        </w:tc>
        <w:tc>
          <w:tcPr>
            <w:tcW w:w="288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Dérogation pour l’année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 pour le 22 mars 2024</w:t>
            </w:r>
          </w:p>
          <w:p>
            <w:pPr>
              <w:suppressAutoHyphens/>
              <w:spacing w:after="0" w:line="240" w:lineRule="auto"/>
              <w:jc w:val="center"/>
              <w:rPr>
                <w:rFonts w:eastAsia="Arial" w:cs="Arial"/>
                <w:b/>
                <w:lang w:val="fr-FR" w:eastAsia="ar-SA"/>
              </w:rPr>
            </w:pPr>
            <w:r>
              <w:rPr>
                <w:rFonts w:eastAsia="Arial" w:cs="Arial"/>
                <w:b/>
                <w:lang w:val="fr-FR" w:eastAsia="ar-SA"/>
              </w:rPr>
              <w:t xml:space="preserve">+ 10 jours max. après une exclusion postérieure </w:t>
            </w:r>
          </w:p>
          <w:p>
            <w:pPr>
              <w:suppressAutoHyphens/>
              <w:spacing w:before="60" w:after="60" w:line="240" w:lineRule="auto"/>
              <w:jc w:val="center"/>
              <w:rPr>
                <w:rFonts w:eastAsia="Arial" w:cs="Arial"/>
                <w:b/>
                <w:lang w:val="fr-FR" w:eastAsia="ar-SA"/>
              </w:rPr>
            </w:pPr>
            <w:r>
              <w:rPr>
                <w:rFonts w:eastAsia="Arial" w:cs="Arial"/>
                <w:b/>
                <w:lang w:val="fr-FR" w:eastAsia="ar-SA"/>
              </w:rPr>
              <w:t>et au plus tard le 15 juillet 2024 dans ce cas</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uppressAutoHyphens/>
              <w:spacing w:before="120" w:after="120" w:line="240" w:lineRule="auto"/>
              <w:jc w:val="center"/>
              <w:rPr>
                <w:rFonts w:eastAsia="Arial" w:cs="Arial"/>
                <w:lang w:val="fr-FR" w:eastAsia="ar-SA"/>
              </w:rPr>
            </w:pPr>
            <w:r>
              <w:rPr>
                <w:rFonts w:eastAsia="Arial" w:cs="Arial"/>
                <w:b/>
                <w:i/>
                <w:lang w:val="fr-FR" w:eastAsia="ar-SA"/>
              </w:rPr>
              <w:t xml:space="preserve">Demande de DEROGATION concernant la globalisation totale du comptage et/ou la globalisation du comptage au premier degré </w:t>
            </w:r>
          </w:p>
        </w:tc>
      </w:tr>
    </w:tbl>
    <w:p>
      <w:pPr>
        <w:suppressAutoHyphens/>
        <w:spacing w:after="0" w:line="240" w:lineRule="auto"/>
        <w:ind w:left="180"/>
        <w:jc w:val="both"/>
        <w:rPr>
          <w:rFonts w:eastAsia="Arial" w:cs="Arial"/>
          <w:lang w:val="fr-FR" w:eastAsia="ar-SA"/>
        </w:rPr>
      </w:pPr>
    </w:p>
    <w:p>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pPr>
        <w:numPr>
          <w:ilvl w:val="0"/>
          <w:numId w:val="5"/>
        </w:numPr>
        <w:suppressAutoHyphens/>
        <w:spacing w:after="0" w:line="240" w:lineRule="auto"/>
        <w:jc w:val="both"/>
        <w:rPr>
          <w:rFonts w:eastAsia="Arial" w:cs="Arial"/>
          <w:lang w:val="fr-FR" w:eastAsia="ar-SA"/>
        </w:rPr>
      </w:pPr>
      <w:r>
        <w:rPr>
          <w:rFonts w:eastAsia="Arial" w:cs="Arial"/>
          <w:lang w:val="fr-FR" w:eastAsia="ar-SA"/>
        </w:rPr>
        <w:t xml:space="preserve">à la Direction générale de l’enseignement obligatoire : </w:t>
      </w:r>
    </w:p>
    <w:p>
      <w:pPr>
        <w:suppressAutoHyphens/>
        <w:spacing w:after="0" w:line="240" w:lineRule="auto"/>
        <w:ind w:left="720"/>
        <w:jc w:val="both"/>
        <w:rPr>
          <w:rFonts w:eastAsia="Arial" w:cs="Arial"/>
          <w:lang w:val="fr-FR" w:eastAsia="ar-SA"/>
        </w:rPr>
      </w:pPr>
      <w:r>
        <w:rPr>
          <w:rFonts w:eastAsia="Arial" w:cs="Arial"/>
          <w:lang w:val="fr-FR" w:eastAsia="ar-SA"/>
        </w:rPr>
        <w:t xml:space="preserve">Par courriel </w:t>
      </w:r>
      <w:hyperlink r:id="rId8" w:history="1">
        <w:r>
          <w:rPr>
            <w:rFonts w:eastAsia="Arial" w:cs="Arial"/>
            <w:color w:val="0000FF"/>
            <w:u w:val="single"/>
            <w:lang w:val="fr-FR" w:eastAsia="ar-SA"/>
          </w:rPr>
          <w:t>structures.secondaire.ordi@cfwb.be</w:t>
        </w:r>
      </w:hyperlink>
      <w:r>
        <w:rPr>
          <w:rFonts w:eastAsia="Arial" w:cs="Arial"/>
          <w:lang w:val="fr-FR" w:eastAsia="ar-SA"/>
        </w:rPr>
        <w:t xml:space="preserve">  </w:t>
      </w:r>
    </w:p>
    <w:p>
      <w:pPr>
        <w:numPr>
          <w:ilvl w:val="0"/>
          <w:numId w:val="5"/>
        </w:numPr>
        <w:suppressAutoHyphens/>
        <w:spacing w:after="0" w:line="240" w:lineRule="auto"/>
        <w:jc w:val="both"/>
        <w:rPr>
          <w:rFonts w:eastAsia="Arial" w:cs="Arial"/>
          <w:lang w:val="fr-FR" w:eastAsia="ar-SA"/>
        </w:rPr>
      </w:pPr>
      <w:r>
        <w:rPr>
          <w:rFonts w:eastAsia="Arial"/>
          <w:b/>
          <w:lang w:val="fr-FR" w:eastAsia="ar-SA"/>
        </w:rPr>
        <w:t>soit</w:t>
      </w:r>
      <w:r>
        <w:rPr>
          <w:rFonts w:eastAsia="Arial"/>
          <w:lang w:val="fr-FR" w:eastAsia="ar-SA"/>
        </w:rPr>
        <w:t xml:space="preserve"> à l'organe de représentation et de coordination, </w:t>
      </w:r>
    </w:p>
    <w:p>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pPr>
        <w:numPr>
          <w:ilvl w:val="0"/>
          <w:numId w:val="5"/>
        </w:numPr>
        <w:suppressAutoHyphens/>
        <w:spacing w:after="0" w:line="240" w:lineRule="auto"/>
        <w:jc w:val="both"/>
        <w:rPr>
          <w:rFonts w:eastAsia="Arial" w:cs="Arial"/>
          <w:lang w:val="fr-FR" w:eastAsia="ar-SA"/>
        </w:rPr>
      </w:pPr>
      <w:r>
        <w:rPr>
          <w:rFonts w:eastAsia="Arial"/>
          <w:lang w:val="fr-FR" w:eastAsia="ar-SA"/>
        </w:rPr>
        <w:t>au Comité de concertation</w:t>
      </w:r>
    </w:p>
    <w:p>
      <w:pPr>
        <w:suppressAutoHyphens/>
        <w:spacing w:after="0" w:line="240" w:lineRule="auto"/>
        <w:ind w:left="142"/>
        <w:rPr>
          <w:rFonts w:eastAsia="Arial" w:cs="Arial"/>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320"/>
      </w:tblGrid>
      <w:tr>
        <w:trPr>
          <w:jc w:val="center"/>
        </w:trPr>
        <w:tc>
          <w:tcPr>
            <w:tcW w:w="7508"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320"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9828"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22 §1er, alinéas 5 et 6 du décret du 29 juillet 1992, tel que modifié.</w:t>
      </w:r>
    </w:p>
    <w:p>
      <w:pPr>
        <w:spacing w:after="0" w:line="240" w:lineRule="auto"/>
        <w:rPr>
          <w:rFonts w:eastAsia="Times New Roman"/>
          <w:i/>
          <w:lang w:val="fr-FR" w:eastAsia="fr-FR"/>
        </w:rPr>
      </w:pPr>
    </w:p>
    <w:tbl>
      <w:tblPr>
        <w:tblW w:w="0" w:type="auto"/>
        <w:tblLayout w:type="fixed"/>
        <w:tblCellMar>
          <w:left w:w="70" w:type="dxa"/>
          <w:right w:w="70" w:type="dxa"/>
        </w:tblCellMar>
        <w:tblLook w:val="0000" w:firstRow="0" w:lastRow="0" w:firstColumn="0" w:lastColumn="0" w:noHBand="0" w:noVBand="0"/>
      </w:tblPr>
      <w:tblGrid>
        <w:gridCol w:w="3898"/>
        <w:gridCol w:w="283"/>
        <w:gridCol w:w="4961"/>
      </w:tblGrid>
      <w:tr>
        <w:tc>
          <w:tcPr>
            <w:tcW w:w="3898" w:type="dxa"/>
          </w:tcPr>
          <w:p>
            <w:pPr>
              <w:tabs>
                <w:tab w:val="left" w:pos="3544"/>
              </w:tabs>
              <w:spacing w:after="0" w:line="240" w:lineRule="auto"/>
              <w:rPr>
                <w:rFonts w:eastAsia="Times New Roman"/>
                <w:i/>
                <w:lang w:val="fr-FR" w:eastAsia="fr-FR"/>
              </w:rPr>
            </w:pPr>
            <w:r>
              <w:rPr>
                <w:rFonts w:eastAsia="Times New Roman"/>
                <w:i/>
                <w:lang w:val="fr-FR" w:eastAsia="fr-FR"/>
              </w:rPr>
              <w:t xml:space="preserve">La demande de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spacing w:after="0" w:line="240" w:lineRule="auto"/>
              <w:rPr>
                <w:rFonts w:eastAsia="Times New Roman"/>
                <w:i/>
                <w:lang w:val="fr-FR" w:eastAsia="fr-FR"/>
              </w:rPr>
            </w:pPr>
          </w:p>
        </w:tc>
        <w:tc>
          <w:tcPr>
            <w:tcW w:w="4961" w:type="dxa"/>
            <w:tcBorders>
              <w:left w:val="nil"/>
            </w:tcBorders>
          </w:tcPr>
          <w:p>
            <w:pPr>
              <w:tabs>
                <w:tab w:val="left" w:pos="3544"/>
              </w:tabs>
              <w:spacing w:after="0" w:line="240" w:lineRule="auto"/>
              <w:ind w:left="214"/>
              <w:rPr>
                <w:rFonts w:eastAsia="Times New Roman"/>
                <w:i/>
                <w:lang w:val="fr-FR" w:eastAsia="fr-FR"/>
              </w:rPr>
            </w:pPr>
            <w:r>
              <w:rPr>
                <w:rFonts w:eastAsia="Times New Roman"/>
                <w:i/>
                <w:lang w:val="fr-FR" w:eastAsia="fr-FR"/>
              </w:rPr>
              <w:t>la globalisation totale du comptage</w:t>
            </w:r>
          </w:p>
        </w:tc>
      </w:tr>
      <w:tr>
        <w:tc>
          <w:tcPr>
            <w:tcW w:w="3898" w:type="dxa"/>
          </w:tcPr>
          <w:p>
            <w:pPr>
              <w:tabs>
                <w:tab w:val="left" w:pos="3544"/>
              </w:tabs>
              <w:spacing w:after="0" w:line="240" w:lineRule="auto"/>
              <w:rPr>
                <w:rFonts w:eastAsia="Times New Roman"/>
                <w:i/>
                <w:lang w:val="fr-FR" w:eastAsia="fr-FR"/>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spacing w:after="0" w:line="240" w:lineRule="auto"/>
              <w:rPr>
                <w:rFonts w:eastAsia="Times New Roman"/>
                <w:i/>
                <w:lang w:val="fr-FR" w:eastAsia="fr-FR"/>
              </w:rPr>
            </w:pPr>
          </w:p>
        </w:tc>
        <w:tc>
          <w:tcPr>
            <w:tcW w:w="4961" w:type="dxa"/>
            <w:tcBorders>
              <w:left w:val="nil"/>
            </w:tcBorders>
          </w:tcPr>
          <w:p>
            <w:pPr>
              <w:tabs>
                <w:tab w:val="left" w:pos="3544"/>
              </w:tabs>
              <w:spacing w:after="0" w:line="240" w:lineRule="auto"/>
              <w:ind w:left="214"/>
              <w:rPr>
                <w:rFonts w:eastAsia="Times New Roman"/>
                <w:i/>
                <w:lang w:val="fr-FR" w:eastAsia="fr-FR"/>
              </w:rPr>
            </w:pPr>
            <w:r>
              <w:rPr>
                <w:rFonts w:eastAsia="Times New Roman"/>
                <w:i/>
                <w:lang w:val="fr-FR" w:eastAsia="fr-FR"/>
              </w:rPr>
              <w:t>la globalisation du comptage au premier degré</w:t>
            </w:r>
          </w:p>
        </w:tc>
      </w:tr>
    </w:tbl>
    <w:p>
      <w:pPr>
        <w:tabs>
          <w:tab w:val="left" w:pos="2835"/>
          <w:tab w:val="left" w:pos="3402"/>
        </w:tabs>
        <w:spacing w:after="0" w:line="240" w:lineRule="auto"/>
        <w:rPr>
          <w:rFonts w:eastAsia="Times New Roman"/>
          <w:i/>
          <w:lang w:val="fr-FR" w:eastAsia="fr-FR"/>
        </w:rPr>
      </w:pPr>
    </w:p>
    <w:p>
      <w:pPr>
        <w:tabs>
          <w:tab w:val="left" w:pos="567"/>
          <w:tab w:val="left" w:pos="2835"/>
          <w:tab w:val="left" w:pos="3402"/>
        </w:tabs>
        <w:spacing w:after="0" w:line="240" w:lineRule="auto"/>
        <w:rPr>
          <w:rFonts w:eastAsia="Times New Roman"/>
          <w:i/>
          <w:lang w:val="fr-FR" w:eastAsia="fr-FR"/>
        </w:rPr>
      </w:pPr>
      <w:r>
        <w:rPr>
          <w:rFonts w:eastAsia="Times New Roman"/>
          <w:i/>
          <w:u w:val="single"/>
          <w:lang w:val="fr-FR" w:eastAsia="fr-FR"/>
        </w:rPr>
        <w:t xml:space="preserve">N.B. </w:t>
      </w:r>
      <w:r>
        <w:rPr>
          <w:rFonts w:eastAsia="Times New Roman"/>
          <w:i/>
          <w:lang w:val="fr-FR" w:eastAsia="fr-FR"/>
        </w:rPr>
        <w:t>: Mettre une X dans la case correspondant au type de dérogation souhaitée.</w:t>
      </w:r>
    </w:p>
    <w:p>
      <w:pPr>
        <w:tabs>
          <w:tab w:val="left" w:pos="567"/>
          <w:tab w:val="left" w:pos="2835"/>
          <w:tab w:val="left" w:pos="3402"/>
        </w:tabs>
        <w:spacing w:after="0" w:line="240" w:lineRule="auto"/>
        <w:rPr>
          <w:rFonts w:eastAsia="Times New Roman"/>
          <w:i/>
          <w:lang w:val="fr-FR" w:eastAsia="fr-FR"/>
        </w:rPr>
      </w:pPr>
    </w:p>
    <w:p>
      <w:pPr>
        <w:spacing w:after="0" w:line="240" w:lineRule="auto"/>
        <w:rPr>
          <w:rFonts w:eastAsia="Times New Roman"/>
          <w:i/>
          <w:lang w:val="fr-FR" w:eastAsia="fr-FR"/>
        </w:rPr>
      </w:pPr>
      <w:r>
        <w:rPr>
          <w:rFonts w:eastAsia="Times New Roman"/>
          <w:i/>
          <w:lang w:val="fr-FR" w:eastAsia="fr-FR"/>
        </w:rPr>
        <w:t>Les raisons de cette demande sont explicitées ci-dessous :</w:t>
      </w:r>
    </w:p>
    <w:p>
      <w:pPr>
        <w:spacing w:after="0" w:line="240" w:lineRule="auto"/>
        <w:rPr>
          <w:rFonts w:eastAsia="Times New Roman"/>
          <w:i/>
          <w:lang w:val="fr-FR" w:eastAsia="fr-FR"/>
        </w:rPr>
      </w:pPr>
    </w:p>
    <w:tbl>
      <w:tblPr>
        <w:tblW w:w="9426"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26"/>
      </w:tblGrid>
      <w:tr>
        <w:tc>
          <w:tcPr>
            <w:tcW w:w="9426" w:type="dxa"/>
          </w:tcPr>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tc>
      </w:tr>
    </w:tbl>
    <w:p>
      <w:pPr>
        <w:spacing w:after="0" w:line="240" w:lineRule="auto"/>
        <w:rPr>
          <w:rFonts w:eastAsia="Times New Roman"/>
          <w:i/>
          <w:lang w:val="fr-FR" w:eastAsia="fr-FR"/>
        </w:rPr>
      </w:pPr>
    </w:p>
    <w:p>
      <w:pPr>
        <w:spacing w:after="0" w:line="240" w:lineRule="auto"/>
        <w:rPr>
          <w:rFonts w:eastAsia="Times New Roman"/>
          <w:i/>
          <w:lang w:val="fr-FR" w:eastAsia="fr-FR"/>
        </w:rPr>
      </w:pPr>
      <w:r>
        <w:rPr>
          <w:rFonts w:eastAsia="Times New Roman"/>
          <w:i/>
          <w:lang w:val="fr-FR" w:eastAsia="fr-FR"/>
        </w:rPr>
        <w:t>Pour toute demande suite à une exclusion postérieure au 15 janvier, préciser la date de l’exclusion définitive :</w:t>
      </w:r>
    </w:p>
    <w:tbl>
      <w:tblPr>
        <w:tblW w:w="10275" w:type="dxa"/>
        <w:tblInd w:w="70" w:type="dxa"/>
        <w:tblLayout w:type="fixed"/>
        <w:tblCellMar>
          <w:left w:w="70" w:type="dxa"/>
          <w:right w:w="70" w:type="dxa"/>
        </w:tblCellMar>
        <w:tblLook w:val="0000" w:firstRow="0" w:lastRow="0" w:firstColumn="0" w:lastColumn="0" w:noHBand="0" w:noVBand="0"/>
      </w:tblPr>
      <w:tblGrid>
        <w:gridCol w:w="10275"/>
      </w:tblGrid>
      <w:tr>
        <w:tc>
          <w:tcPr>
            <w:tcW w:w="10275" w:type="dxa"/>
          </w:tcPr>
          <w:p>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tc>
      </w:tr>
    </w:tbl>
    <w:p>
      <w:pPr>
        <w:spacing w:after="0" w:line="240" w:lineRule="auto"/>
        <w:rPr>
          <w:rFonts w:eastAsia="Times New Roman"/>
          <w:lang w:val="fr-FR" w:eastAsia="fr-FR"/>
        </w:rPr>
      </w:pPr>
      <w:r>
        <w:rPr>
          <w:rFonts w:eastAsia="Times New Roman"/>
          <w:lang w:val="fr-FR" w:eastAsia="fr-FR"/>
        </w:rPr>
        <w:br w:type="page"/>
      </w: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Annexe 2</w:t>
            </w:r>
          </w:p>
        </w:tc>
        <w:tc>
          <w:tcPr>
            <w:tcW w:w="288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Dérogation pour l’année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 pour le 22 mars 2024</w:t>
            </w:r>
          </w:p>
          <w:p>
            <w:pPr>
              <w:suppressAutoHyphens/>
              <w:spacing w:before="60" w:after="60" w:line="240" w:lineRule="auto"/>
              <w:jc w:val="center"/>
              <w:rPr>
                <w:rFonts w:eastAsia="Arial" w:cs="Arial"/>
                <w:b/>
                <w:lang w:val="fr-FR" w:eastAsia="ar-SA"/>
              </w:rPr>
            </w:pP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pacing w:after="0" w:line="240" w:lineRule="auto"/>
              <w:jc w:val="center"/>
              <w:rPr>
                <w:rFonts w:eastAsia="Times New Roman" w:cs="Arial"/>
                <w:b/>
                <w:lang w:val="fr-FR" w:eastAsia="fr-FR"/>
              </w:rPr>
            </w:pPr>
            <w:r>
              <w:rPr>
                <w:rFonts w:eastAsia="Times New Roman" w:cs="Arial"/>
                <w:b/>
                <w:i/>
                <w:lang w:val="fr-FR" w:eastAsia="fr-FR"/>
              </w:rPr>
              <w:t xml:space="preserve">Demande de </w:t>
            </w:r>
            <w:r>
              <w:rPr>
                <w:rFonts w:eastAsia="Times New Roman" w:cs="Arial"/>
                <w:b/>
                <w:lang w:val="fr-FR" w:eastAsia="fr-FR"/>
              </w:rPr>
              <w:t xml:space="preserve">DEROGATION à la condition de distance pour un emploi supplémentaire </w:t>
            </w:r>
          </w:p>
          <w:p>
            <w:pPr>
              <w:spacing w:after="0" w:line="240" w:lineRule="auto"/>
              <w:jc w:val="center"/>
              <w:rPr>
                <w:rFonts w:eastAsia="Arial" w:cs="Arial"/>
                <w:b/>
                <w:lang w:val="fr-FR" w:eastAsia="ar-SA"/>
              </w:rPr>
            </w:pPr>
            <w:r>
              <w:rPr>
                <w:rFonts w:eastAsia="Times New Roman" w:cs="Arial"/>
                <w:b/>
                <w:lang w:val="fr-FR" w:eastAsia="fr-FR"/>
              </w:rPr>
              <w:t xml:space="preserve">de surveillant-éducateur </w:t>
            </w:r>
            <w:r>
              <w:rPr>
                <w:rFonts w:eastAsia="Arial" w:cs="Arial"/>
                <w:b/>
                <w:lang w:val="fr-FR" w:eastAsia="ar-SA"/>
              </w:rPr>
              <w:t>dans une école issue d’une fusion</w:t>
            </w:r>
          </w:p>
          <w:p>
            <w:pPr>
              <w:suppressAutoHyphens/>
              <w:spacing w:after="0" w:line="240" w:lineRule="auto"/>
              <w:jc w:val="center"/>
              <w:rPr>
                <w:rFonts w:eastAsia="Arial" w:cs="Arial"/>
                <w:lang w:val="fr-FR" w:eastAsia="ar-SA"/>
              </w:rPr>
            </w:pPr>
          </w:p>
        </w:tc>
      </w:tr>
    </w:tbl>
    <w:p>
      <w:pPr>
        <w:suppressAutoHyphens/>
        <w:spacing w:after="0" w:line="240" w:lineRule="auto"/>
        <w:ind w:left="180"/>
        <w:jc w:val="both"/>
        <w:rPr>
          <w:rFonts w:eastAsia="Arial" w:cs="Arial"/>
          <w:lang w:val="fr-FR" w:eastAsia="ar-SA"/>
        </w:rPr>
      </w:pPr>
    </w:p>
    <w:p>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pPr>
        <w:numPr>
          <w:ilvl w:val="0"/>
          <w:numId w:val="6"/>
        </w:numPr>
        <w:suppressAutoHyphens/>
        <w:spacing w:after="0" w:line="240" w:lineRule="auto"/>
        <w:jc w:val="both"/>
        <w:rPr>
          <w:rFonts w:eastAsia="Arial" w:cs="Arial"/>
          <w:lang w:val="fr-FR" w:eastAsia="ar-SA"/>
        </w:rPr>
      </w:pPr>
      <w:r>
        <w:rPr>
          <w:rFonts w:eastAsia="Arial" w:cs="Arial"/>
          <w:lang w:val="fr-FR" w:eastAsia="ar-SA"/>
        </w:rPr>
        <w:t xml:space="preserve">à la Direction générale de l’enseignement obligatoire : </w:t>
      </w:r>
    </w:p>
    <w:p>
      <w:pPr>
        <w:suppressAutoHyphens/>
        <w:spacing w:after="0" w:line="240" w:lineRule="auto"/>
        <w:ind w:left="720"/>
        <w:jc w:val="both"/>
        <w:rPr>
          <w:rFonts w:eastAsia="Arial" w:cs="Arial"/>
          <w:lang w:val="fr-FR" w:eastAsia="ar-SA"/>
        </w:rPr>
      </w:pPr>
      <w:r>
        <w:rPr>
          <w:rFonts w:eastAsia="Arial" w:cs="Arial"/>
          <w:lang w:val="fr-FR" w:eastAsia="ar-SA"/>
        </w:rPr>
        <w:t xml:space="preserve">Par courriel </w:t>
      </w:r>
      <w:hyperlink r:id="rId9" w:history="1">
        <w:r>
          <w:rPr>
            <w:rFonts w:eastAsia="Arial" w:cs="Arial"/>
            <w:color w:val="0000FF"/>
            <w:u w:val="single"/>
            <w:lang w:val="fr-FR" w:eastAsia="ar-SA"/>
          </w:rPr>
          <w:t>structures.secondaire.ordi@cfwb.be</w:t>
        </w:r>
      </w:hyperlink>
      <w:r>
        <w:rPr>
          <w:rFonts w:eastAsia="Arial" w:cs="Arial"/>
          <w:lang w:val="fr-FR" w:eastAsia="ar-SA"/>
        </w:rPr>
        <w:t xml:space="preserve">  </w:t>
      </w:r>
    </w:p>
    <w:p>
      <w:pPr>
        <w:numPr>
          <w:ilvl w:val="0"/>
          <w:numId w:val="6"/>
        </w:numPr>
        <w:suppressAutoHyphens/>
        <w:spacing w:after="0" w:line="240" w:lineRule="auto"/>
        <w:jc w:val="both"/>
        <w:rPr>
          <w:rFonts w:eastAsia="Arial" w:cs="Arial"/>
          <w:lang w:val="fr-FR" w:eastAsia="ar-SA"/>
        </w:rPr>
      </w:pPr>
      <w:r>
        <w:rPr>
          <w:rFonts w:eastAsia="Arial"/>
          <w:b/>
          <w:lang w:val="fr-FR" w:eastAsia="ar-SA"/>
        </w:rPr>
        <w:t>soit</w:t>
      </w:r>
      <w:r>
        <w:rPr>
          <w:rFonts w:eastAsia="Arial"/>
          <w:lang w:val="fr-FR" w:eastAsia="ar-SA"/>
        </w:rPr>
        <w:t xml:space="preserve"> à l'organe de représentation et de coordination, </w:t>
      </w:r>
    </w:p>
    <w:p>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pPr>
        <w:numPr>
          <w:ilvl w:val="0"/>
          <w:numId w:val="6"/>
        </w:numPr>
        <w:suppressAutoHyphens/>
        <w:spacing w:after="0" w:line="240" w:lineRule="auto"/>
        <w:jc w:val="both"/>
        <w:rPr>
          <w:rFonts w:eastAsia="Arial" w:cs="Arial"/>
          <w:lang w:val="fr-FR" w:eastAsia="ar-SA"/>
        </w:rPr>
      </w:pPr>
      <w:r>
        <w:rPr>
          <w:rFonts w:eastAsia="Arial"/>
          <w:lang w:val="fr-FR" w:eastAsia="ar-SA"/>
        </w:rPr>
        <w:t>au Comité de concertation</w:t>
      </w:r>
    </w:p>
    <w:p>
      <w:pPr>
        <w:suppressAutoHyphens/>
        <w:spacing w:after="0" w:line="240" w:lineRule="auto"/>
        <w:rPr>
          <w:rFonts w:eastAsia="Arial" w:cs="Arial"/>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trPr>
          <w:jc w:val="center"/>
        </w:trPr>
        <w:tc>
          <w:tcPr>
            <w:tcW w:w="7225"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603"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9828"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 alinéa 1er, 1° de l’arrêté royal du 15 avril 1977, tel que modifié (dérogation pour un emploi supplémentaire de surveillant-éducateur dans une école issue d’une fusion).</w:t>
      </w:r>
    </w:p>
    <w:p>
      <w:pPr>
        <w:spacing w:after="0" w:line="240" w:lineRule="auto"/>
        <w:rPr>
          <w:rFonts w:eastAsia="Times New Roman"/>
          <w:i/>
          <w:lang w:val="fr-FR" w:eastAsia="fr-FR"/>
        </w:rPr>
      </w:pPr>
    </w:p>
    <w:p>
      <w:pPr>
        <w:spacing w:after="0" w:line="240" w:lineRule="auto"/>
        <w:rPr>
          <w:rFonts w:eastAsia="Times New Roman"/>
          <w:i/>
          <w:lang w:val="fr-FR" w:eastAsia="fr-FR"/>
        </w:rPr>
      </w:pPr>
      <w:r>
        <w:rPr>
          <w:rFonts w:eastAsia="Times New Roman"/>
          <w:i/>
          <w:lang w:val="fr-FR" w:eastAsia="fr-FR"/>
        </w:rPr>
        <w:t>Les raisons de cette demande sont explicitées ci-dessous:</w:t>
      </w:r>
    </w:p>
    <w:tbl>
      <w:tblPr>
        <w:tblW w:w="956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568"/>
      </w:tblGrid>
      <w:tr>
        <w:tc>
          <w:tcPr>
            <w:tcW w:w="9568" w:type="dxa"/>
          </w:tcPr>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tc>
      </w:tr>
    </w:tbl>
    <w:p>
      <w:pPr>
        <w:spacing w:after="0" w:line="240" w:lineRule="auto"/>
        <w:rPr>
          <w:rFonts w:eastAsia="Times New Roman"/>
          <w:i/>
          <w:lang w:val="fr-FR" w:eastAsia="fr-FR"/>
        </w:rPr>
      </w:pPr>
    </w:p>
    <w:tbl>
      <w:tblPr>
        <w:tblW w:w="10345" w:type="dxa"/>
        <w:tblLayout w:type="fixed"/>
        <w:tblCellMar>
          <w:left w:w="70" w:type="dxa"/>
          <w:right w:w="70" w:type="dxa"/>
        </w:tblCellMar>
        <w:tblLook w:val="0000" w:firstRow="0" w:lastRow="0" w:firstColumn="0" w:lastColumn="0" w:noHBand="0" w:noVBand="0"/>
      </w:tblPr>
      <w:tblGrid>
        <w:gridCol w:w="334"/>
        <w:gridCol w:w="1176"/>
        <w:gridCol w:w="2880"/>
        <w:gridCol w:w="5400"/>
        <w:gridCol w:w="555"/>
      </w:tblGrid>
      <w:tr>
        <w:tc>
          <w:tcPr>
            <w:tcW w:w="10345" w:type="dxa"/>
            <w:gridSpan w:val="5"/>
          </w:tcPr>
          <w:p>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p>
            <w:pPr>
              <w:tabs>
                <w:tab w:val="left" w:pos="2835"/>
                <w:tab w:val="left" w:pos="3402"/>
              </w:tabs>
              <w:spacing w:after="0" w:line="240" w:lineRule="auto"/>
              <w:rPr>
                <w:rFonts w:eastAsia="Times New Roman"/>
                <w:i/>
                <w:lang w:val="fr-FR" w:eastAsia="fr-FR"/>
              </w:rPr>
            </w:pPr>
          </w:p>
          <w:p>
            <w:pPr>
              <w:tabs>
                <w:tab w:val="left" w:pos="2835"/>
                <w:tab w:val="left" w:pos="3402"/>
              </w:tabs>
              <w:spacing w:after="0" w:line="240" w:lineRule="auto"/>
              <w:rPr>
                <w:rFonts w:eastAsia="Times New Roman"/>
                <w:i/>
                <w:lang w:val="fr-FR" w:eastAsia="fr-FR"/>
              </w:rPr>
            </w:pPr>
          </w:p>
          <w:p>
            <w:pPr>
              <w:tabs>
                <w:tab w:val="left" w:pos="2835"/>
                <w:tab w:val="left" w:pos="3402"/>
              </w:tabs>
              <w:spacing w:after="0" w:line="240" w:lineRule="auto"/>
              <w:rPr>
                <w:rFonts w:eastAsia="Times New Roman"/>
                <w:i/>
                <w:lang w:val="fr-FR" w:eastAsia="fr-FR"/>
              </w:rPr>
            </w:pPr>
          </w:p>
          <w:p>
            <w:pPr>
              <w:tabs>
                <w:tab w:val="left" w:pos="2835"/>
                <w:tab w:val="left" w:pos="3402"/>
              </w:tabs>
              <w:spacing w:after="0" w:line="240" w:lineRule="auto"/>
              <w:rPr>
                <w:rFonts w:eastAsia="Times New Roman"/>
                <w:i/>
                <w:lang w:val="fr-FR" w:eastAsia="fr-FR"/>
              </w:rPr>
            </w:pPr>
          </w:p>
        </w:tc>
      </w:tr>
      <w:tr>
        <w:tblPrEx>
          <w:jc w:val="center"/>
          <w:tblCellMar>
            <w:left w:w="108" w:type="dxa"/>
            <w:right w:w="108" w:type="dxa"/>
          </w:tblCellMar>
          <w:tblLook w:val="01E0" w:firstRow="1" w:lastRow="1" w:firstColumn="1" w:lastColumn="1" w:noHBand="0" w:noVBand="0"/>
        </w:tblPrEx>
        <w:trPr>
          <w:gridBefore w:val="1"/>
          <w:gridAfter w:val="1"/>
          <w:wBefore w:w="334" w:type="dxa"/>
          <w:wAfter w:w="555" w:type="dxa"/>
          <w:jc w:val="center"/>
        </w:trPr>
        <w:tc>
          <w:tcPr>
            <w:tcW w:w="1176"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Annexe 3</w:t>
            </w:r>
          </w:p>
        </w:tc>
        <w:tc>
          <w:tcPr>
            <w:tcW w:w="288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Dérogation pour l’année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 pour le 22 mars 2024</w:t>
            </w:r>
          </w:p>
          <w:p>
            <w:pPr>
              <w:suppressAutoHyphens/>
              <w:spacing w:before="60" w:after="60" w:line="240" w:lineRule="auto"/>
              <w:jc w:val="center"/>
              <w:rPr>
                <w:rFonts w:eastAsia="Arial" w:cs="Arial"/>
                <w:b/>
                <w:lang w:val="fr-FR" w:eastAsia="ar-SA"/>
              </w:rPr>
            </w:pPr>
          </w:p>
        </w:tc>
      </w:tr>
      <w:tr>
        <w:tblPrEx>
          <w:jc w:val="center"/>
          <w:tblCellMar>
            <w:left w:w="108" w:type="dxa"/>
            <w:right w:w="108" w:type="dxa"/>
          </w:tblCellMar>
          <w:tblLook w:val="01E0" w:firstRow="1" w:lastRow="1" w:firstColumn="1" w:lastColumn="1" w:noHBand="0" w:noVBand="0"/>
        </w:tblPrEx>
        <w:trPr>
          <w:gridBefore w:val="1"/>
          <w:gridAfter w:val="1"/>
          <w:wBefore w:w="334" w:type="dxa"/>
          <w:wAfter w:w="555" w:type="dxa"/>
          <w:jc w:val="center"/>
        </w:trPr>
        <w:tc>
          <w:tcPr>
            <w:tcW w:w="9456"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uppressAutoHyphens/>
              <w:spacing w:after="0" w:line="240" w:lineRule="auto"/>
              <w:jc w:val="center"/>
              <w:rPr>
                <w:rFonts w:eastAsia="Arial" w:cs="Arial"/>
                <w:b/>
                <w:i/>
                <w:lang w:val="fr-FR" w:eastAsia="ar-SA"/>
              </w:rPr>
            </w:pPr>
            <w:r>
              <w:rPr>
                <w:rFonts w:eastAsia="Arial" w:cs="Arial"/>
                <w:b/>
                <w:i/>
                <w:lang w:val="fr-FR" w:eastAsia="ar-SA"/>
              </w:rPr>
              <w:t xml:space="preserve">Demande de DEROGATION concernant la délocalisation d'un degré, d'une année </w:t>
            </w:r>
          </w:p>
          <w:p>
            <w:pPr>
              <w:suppressAutoHyphens/>
              <w:spacing w:after="0" w:line="240" w:lineRule="auto"/>
              <w:jc w:val="center"/>
              <w:rPr>
                <w:rFonts w:eastAsia="Arial" w:cs="Arial"/>
                <w:b/>
                <w:lang w:val="fr-FR" w:eastAsia="ar-SA"/>
              </w:rPr>
            </w:pPr>
            <w:r>
              <w:rPr>
                <w:rFonts w:eastAsia="Arial" w:cs="Arial"/>
                <w:b/>
                <w:i/>
                <w:lang w:val="fr-FR" w:eastAsia="ar-SA"/>
              </w:rPr>
              <w:t xml:space="preserve">ou d'une option de base dans une autre école </w:t>
            </w:r>
          </w:p>
          <w:p>
            <w:pPr>
              <w:suppressAutoHyphens/>
              <w:spacing w:after="0" w:line="240" w:lineRule="auto"/>
              <w:jc w:val="center"/>
              <w:rPr>
                <w:rFonts w:eastAsia="Arial" w:cs="Arial"/>
                <w:lang w:val="fr-FR" w:eastAsia="ar-SA"/>
              </w:rPr>
            </w:pPr>
          </w:p>
        </w:tc>
      </w:tr>
    </w:tbl>
    <w:p>
      <w:pPr>
        <w:suppressAutoHyphens/>
        <w:spacing w:after="0" w:line="240" w:lineRule="auto"/>
        <w:ind w:left="180"/>
        <w:jc w:val="both"/>
        <w:rPr>
          <w:rFonts w:eastAsia="Arial" w:cs="Arial"/>
          <w:lang w:val="fr-FR" w:eastAsia="ar-SA"/>
        </w:rPr>
      </w:pPr>
    </w:p>
    <w:p>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pPr>
        <w:numPr>
          <w:ilvl w:val="0"/>
          <w:numId w:val="7"/>
        </w:numPr>
        <w:suppressAutoHyphens/>
        <w:spacing w:after="0" w:line="240" w:lineRule="auto"/>
        <w:jc w:val="both"/>
        <w:rPr>
          <w:rFonts w:eastAsia="Arial" w:cs="Arial"/>
          <w:lang w:val="fr-FR" w:eastAsia="ar-SA"/>
        </w:rPr>
      </w:pPr>
      <w:r>
        <w:rPr>
          <w:rFonts w:eastAsia="Arial" w:cs="Arial"/>
          <w:lang w:val="fr-FR" w:eastAsia="ar-SA"/>
        </w:rPr>
        <w:t xml:space="preserve">à la Direction générale de l’enseignement obligatoire : </w:t>
      </w:r>
    </w:p>
    <w:p>
      <w:pPr>
        <w:suppressAutoHyphens/>
        <w:spacing w:after="0" w:line="240" w:lineRule="auto"/>
        <w:ind w:left="720"/>
        <w:jc w:val="both"/>
        <w:rPr>
          <w:rFonts w:eastAsia="Arial" w:cs="Arial"/>
          <w:lang w:val="fr-FR" w:eastAsia="ar-SA"/>
        </w:rPr>
      </w:pPr>
      <w:r>
        <w:rPr>
          <w:rFonts w:eastAsia="Arial" w:cs="Arial"/>
          <w:lang w:val="fr-FR" w:eastAsia="ar-SA"/>
        </w:rPr>
        <w:t xml:space="preserve">Par courriel </w:t>
      </w:r>
      <w:hyperlink r:id="rId10" w:history="1">
        <w:r>
          <w:rPr>
            <w:rFonts w:eastAsia="Arial" w:cs="Arial"/>
            <w:color w:val="0000FF"/>
            <w:u w:val="single"/>
            <w:lang w:val="fr-FR" w:eastAsia="ar-SA"/>
          </w:rPr>
          <w:t>structures.secondaire.ordi@cfwb.be</w:t>
        </w:r>
      </w:hyperlink>
      <w:r>
        <w:rPr>
          <w:rFonts w:eastAsia="Arial" w:cs="Arial"/>
          <w:lang w:val="fr-FR" w:eastAsia="ar-SA"/>
        </w:rPr>
        <w:t xml:space="preserve">  </w:t>
      </w:r>
    </w:p>
    <w:p>
      <w:pPr>
        <w:numPr>
          <w:ilvl w:val="0"/>
          <w:numId w:val="7"/>
        </w:numPr>
        <w:suppressAutoHyphens/>
        <w:spacing w:after="0" w:line="240" w:lineRule="auto"/>
        <w:jc w:val="both"/>
        <w:rPr>
          <w:rFonts w:eastAsia="Arial" w:cs="Arial"/>
          <w:lang w:val="fr-FR" w:eastAsia="ar-SA"/>
        </w:rPr>
      </w:pPr>
      <w:r>
        <w:rPr>
          <w:rFonts w:eastAsia="Arial"/>
          <w:b/>
          <w:lang w:val="fr-FR" w:eastAsia="ar-SA"/>
        </w:rPr>
        <w:t>soit</w:t>
      </w:r>
      <w:r>
        <w:rPr>
          <w:rFonts w:eastAsia="Arial"/>
          <w:lang w:val="fr-FR" w:eastAsia="ar-SA"/>
        </w:rPr>
        <w:t xml:space="preserve"> à l'organe de représentation et de coordination, </w:t>
      </w:r>
    </w:p>
    <w:p>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pPr>
        <w:numPr>
          <w:ilvl w:val="0"/>
          <w:numId w:val="7"/>
        </w:numPr>
        <w:suppressAutoHyphens/>
        <w:spacing w:after="0" w:line="240" w:lineRule="auto"/>
        <w:jc w:val="both"/>
        <w:rPr>
          <w:rFonts w:eastAsia="Arial" w:cs="Arial"/>
          <w:lang w:val="fr-FR" w:eastAsia="ar-SA"/>
        </w:rPr>
      </w:pPr>
      <w:r>
        <w:rPr>
          <w:rFonts w:eastAsia="Arial"/>
          <w:lang w:val="fr-FR" w:eastAsia="ar-SA"/>
        </w:rPr>
        <w:t>au Comité de concertation</w:t>
      </w:r>
    </w:p>
    <w:p>
      <w:pPr>
        <w:suppressAutoHyphens/>
        <w:spacing w:after="0" w:line="240" w:lineRule="auto"/>
        <w:rPr>
          <w:rFonts w:eastAsia="Arial" w:cs="Arial"/>
          <w:lang w:val="fr-FR" w:eastAsia="ar-SA"/>
        </w:rPr>
      </w:pP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084"/>
      </w:tblGrid>
      <w:tr>
        <w:trPr>
          <w:jc w:val="center"/>
        </w:trPr>
        <w:tc>
          <w:tcPr>
            <w:tcW w:w="7508"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084"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9592"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5quater §2, alinéa 1er du décret du 29 juillet 1992, tel que modifié (délocalisation d'un degré, d'une année ou d'une option de base dans une autre école).</w:t>
      </w:r>
    </w:p>
    <w:p>
      <w:pPr>
        <w:spacing w:after="0" w:line="240" w:lineRule="auto"/>
        <w:rPr>
          <w:rFonts w:eastAsia="Times New Roman"/>
          <w:i/>
          <w:lang w:val="fr-FR" w:eastAsia="fr-FR"/>
        </w:rPr>
      </w:pPr>
    </w:p>
    <w:p>
      <w:pPr>
        <w:spacing w:after="0" w:line="240" w:lineRule="auto"/>
        <w:rPr>
          <w:rFonts w:eastAsia="Times New Roman"/>
          <w:lang w:val="fr-FR" w:eastAsia="fr-FR"/>
        </w:rPr>
      </w:pPr>
      <w:r>
        <w:rPr>
          <w:rFonts w:eastAsia="Times New Roman"/>
          <w:i/>
          <w:lang w:val="fr-FR" w:eastAsia="fr-FR"/>
        </w:rPr>
        <w:t>Les raisons de cette demande sont explicitées ci-dessous:</w:t>
      </w: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
        <w:gridCol w:w="18"/>
        <w:gridCol w:w="1510"/>
        <w:gridCol w:w="525"/>
        <w:gridCol w:w="2258"/>
        <w:gridCol w:w="97"/>
        <w:gridCol w:w="1541"/>
        <w:gridCol w:w="3319"/>
        <w:gridCol w:w="540"/>
        <w:gridCol w:w="555"/>
      </w:tblGrid>
      <w:tr>
        <w:trPr>
          <w:gridBefore w:val="1"/>
          <w:gridAfter w:val="2"/>
          <w:wBefore w:w="20" w:type="dxa"/>
          <w:wAfter w:w="1095" w:type="dxa"/>
        </w:trPr>
        <w:tc>
          <w:tcPr>
            <w:tcW w:w="2053" w:type="dxa"/>
            <w:gridSpan w:val="3"/>
          </w:tcPr>
          <w:p>
            <w:pPr>
              <w:spacing w:after="0" w:line="240" w:lineRule="auto"/>
              <w:jc w:val="center"/>
              <w:rPr>
                <w:rFonts w:eastAsia="Times New Roman"/>
                <w:b/>
                <w:lang w:val="fr-FR" w:eastAsia="fr-FR"/>
              </w:rPr>
            </w:pPr>
            <w:r>
              <w:rPr>
                <w:rFonts w:eastAsia="Times New Roman"/>
                <w:b/>
                <w:lang w:val="fr-FR" w:eastAsia="fr-FR"/>
              </w:rPr>
              <w:t>Critères du décret</w:t>
            </w:r>
          </w:p>
        </w:tc>
        <w:tc>
          <w:tcPr>
            <w:tcW w:w="2258" w:type="dxa"/>
          </w:tcPr>
          <w:p>
            <w:pPr>
              <w:spacing w:after="0" w:line="240" w:lineRule="auto"/>
              <w:jc w:val="center"/>
              <w:rPr>
                <w:rFonts w:eastAsia="Times New Roman"/>
                <w:b/>
                <w:lang w:val="fr-FR" w:eastAsia="fr-FR"/>
              </w:rPr>
            </w:pPr>
            <w:r>
              <w:rPr>
                <w:rFonts w:eastAsia="Times New Roman"/>
                <w:b/>
                <w:lang w:val="fr-FR" w:eastAsia="fr-FR"/>
              </w:rPr>
              <w:t>Indicateurs</w:t>
            </w:r>
          </w:p>
        </w:tc>
        <w:tc>
          <w:tcPr>
            <w:tcW w:w="1638" w:type="dxa"/>
            <w:gridSpan w:val="2"/>
          </w:tcPr>
          <w:p>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3319" w:type="dxa"/>
            <w:vAlign w:val="center"/>
          </w:tcPr>
          <w:p>
            <w:pPr>
              <w:spacing w:after="0" w:line="240" w:lineRule="auto"/>
              <w:jc w:val="center"/>
              <w:rPr>
                <w:rFonts w:eastAsia="Times New Roman"/>
                <w:b/>
                <w:lang w:val="fr-FR" w:eastAsia="fr-FR"/>
              </w:rPr>
            </w:pPr>
            <w:r>
              <w:rPr>
                <w:rFonts w:eastAsia="Times New Roman"/>
                <w:b/>
                <w:lang w:val="fr-FR" w:eastAsia="fr-FR"/>
              </w:rPr>
              <w:t>Motivations / Elèves concernés / lieu de la délocalisation</w:t>
            </w:r>
          </w:p>
        </w:tc>
      </w:tr>
      <w:tr>
        <w:trPr>
          <w:gridBefore w:val="1"/>
          <w:gridAfter w:val="2"/>
          <w:wBefore w:w="20" w:type="dxa"/>
          <w:wAfter w:w="1095" w:type="dxa"/>
        </w:trPr>
        <w:tc>
          <w:tcPr>
            <w:tcW w:w="2053" w:type="dxa"/>
            <w:gridSpan w:val="3"/>
            <w:vAlign w:val="center"/>
          </w:tcPr>
          <w:p>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258" w:type="dxa"/>
          </w:tcPr>
          <w:p>
            <w:pPr>
              <w:spacing w:after="0" w:line="240" w:lineRule="auto"/>
              <w:rPr>
                <w:rFonts w:eastAsia="Times New Roman"/>
                <w:lang w:val="fr-FR" w:eastAsia="fr-FR"/>
              </w:rPr>
            </w:pPr>
            <w:r>
              <w:rPr>
                <w:rFonts w:eastAsia="Times New Roman"/>
                <w:lang w:val="fr-FR" w:eastAsia="fr-FR"/>
              </w:rPr>
              <w:t>A1. Il y a un manque de place en raison de l’évolution du nombre d’élèves.</w:t>
            </w:r>
          </w:p>
        </w:tc>
        <w:tc>
          <w:tcPr>
            <w:tcW w:w="1638" w:type="dxa"/>
            <w:gridSpan w:val="2"/>
          </w:tcPr>
          <w:p>
            <w:pPr>
              <w:spacing w:after="0" w:line="240" w:lineRule="auto"/>
              <w:rPr>
                <w:rFonts w:eastAsia="Times New Roman"/>
                <w:lang w:val="fr-FR" w:eastAsia="fr-FR"/>
              </w:rPr>
            </w:pPr>
          </w:p>
        </w:tc>
        <w:tc>
          <w:tcPr>
            <w:tcW w:w="3319"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rPr>
          <w:gridBefore w:val="1"/>
          <w:gridAfter w:val="2"/>
          <w:wBefore w:w="20" w:type="dxa"/>
          <w:wAfter w:w="1095" w:type="dxa"/>
        </w:trPr>
        <w:tc>
          <w:tcPr>
            <w:tcW w:w="2053" w:type="dxa"/>
            <w:gridSpan w:val="3"/>
            <w:vAlign w:val="center"/>
          </w:tcPr>
          <w:p>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258" w:type="dxa"/>
          </w:tcPr>
          <w:p>
            <w:pPr>
              <w:spacing w:after="0" w:line="240" w:lineRule="auto"/>
              <w:rPr>
                <w:rFonts w:eastAsia="Times New Roman"/>
                <w:lang w:val="fr-FR" w:eastAsia="fr-FR"/>
              </w:rPr>
            </w:pPr>
            <w:r>
              <w:rPr>
                <w:rFonts w:eastAsia="Times New Roman"/>
                <w:lang w:val="fr-FR" w:eastAsia="fr-FR"/>
              </w:rPr>
              <w:t>B1. La dérogation permet de sauvegarder un projet éducatif et pédagogique particulier.</w:t>
            </w:r>
          </w:p>
        </w:tc>
        <w:tc>
          <w:tcPr>
            <w:tcW w:w="1638" w:type="dxa"/>
            <w:gridSpan w:val="2"/>
          </w:tcPr>
          <w:p>
            <w:pPr>
              <w:spacing w:after="0" w:line="240" w:lineRule="auto"/>
              <w:rPr>
                <w:rFonts w:eastAsia="Times New Roman"/>
                <w:lang w:val="fr-FR" w:eastAsia="fr-FR"/>
              </w:rPr>
            </w:pPr>
          </w:p>
        </w:tc>
        <w:tc>
          <w:tcPr>
            <w:tcW w:w="3319"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rPr>
          <w:gridBefore w:val="1"/>
          <w:gridAfter w:val="2"/>
          <w:wBefore w:w="20" w:type="dxa"/>
          <w:wAfter w:w="1095" w:type="dxa"/>
        </w:trPr>
        <w:tc>
          <w:tcPr>
            <w:tcW w:w="2053" w:type="dxa"/>
            <w:gridSpan w:val="3"/>
            <w:vMerge w:val="restart"/>
            <w:vAlign w:val="center"/>
          </w:tcPr>
          <w:p>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258" w:type="dxa"/>
          </w:tcPr>
          <w:p>
            <w:pPr>
              <w:spacing w:after="0" w:line="240" w:lineRule="auto"/>
              <w:rPr>
                <w:rFonts w:eastAsia="Times New Roman"/>
                <w:lang w:val="fr-FR" w:eastAsia="fr-FR"/>
              </w:rPr>
            </w:pPr>
            <w:r>
              <w:rPr>
                <w:rFonts w:eastAsia="Times New Roman"/>
                <w:lang w:val="fr-FR" w:eastAsia="fr-FR"/>
              </w:rPr>
              <w:t>C1. L’établissement peut bénéficier d’un équipement plus adéquat dans un autre établissement.</w:t>
            </w:r>
          </w:p>
        </w:tc>
        <w:tc>
          <w:tcPr>
            <w:tcW w:w="1638" w:type="dxa"/>
            <w:gridSpan w:val="2"/>
          </w:tcPr>
          <w:p>
            <w:pPr>
              <w:spacing w:after="0" w:line="240" w:lineRule="auto"/>
              <w:rPr>
                <w:rFonts w:eastAsia="Times New Roman"/>
                <w:lang w:val="fr-FR" w:eastAsia="fr-FR"/>
              </w:rPr>
            </w:pPr>
          </w:p>
        </w:tc>
        <w:tc>
          <w:tcPr>
            <w:tcW w:w="3319"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rPr>
          <w:gridBefore w:val="1"/>
          <w:gridAfter w:val="2"/>
          <w:wBefore w:w="20" w:type="dxa"/>
          <w:wAfter w:w="1095" w:type="dxa"/>
        </w:trPr>
        <w:tc>
          <w:tcPr>
            <w:tcW w:w="2053" w:type="dxa"/>
            <w:gridSpan w:val="3"/>
            <w:vMerge/>
          </w:tcPr>
          <w:p>
            <w:pPr>
              <w:spacing w:after="0" w:line="240" w:lineRule="auto"/>
              <w:rPr>
                <w:rFonts w:eastAsia="Times New Roman"/>
                <w:lang w:val="fr-FR" w:eastAsia="fr-FR"/>
              </w:rPr>
            </w:pPr>
          </w:p>
        </w:tc>
        <w:tc>
          <w:tcPr>
            <w:tcW w:w="2258" w:type="dxa"/>
          </w:tcPr>
          <w:p>
            <w:pPr>
              <w:spacing w:after="0" w:line="240" w:lineRule="auto"/>
              <w:rPr>
                <w:rFonts w:eastAsia="Times New Roman"/>
                <w:lang w:val="fr-FR" w:eastAsia="fr-FR"/>
              </w:rPr>
            </w:pPr>
            <w:r>
              <w:rPr>
                <w:rFonts w:eastAsia="Times New Roman"/>
                <w:lang w:val="fr-FR" w:eastAsia="fr-FR"/>
              </w:rPr>
              <w:t>C2. Des circonstances particulières (travaux, problèmes de sécurité, …) justifient la délocalisation.</w:t>
            </w:r>
          </w:p>
        </w:tc>
        <w:tc>
          <w:tcPr>
            <w:tcW w:w="1638" w:type="dxa"/>
            <w:gridSpan w:val="2"/>
          </w:tcPr>
          <w:p>
            <w:pPr>
              <w:spacing w:after="0" w:line="240" w:lineRule="auto"/>
              <w:rPr>
                <w:rFonts w:eastAsia="Times New Roman"/>
                <w:lang w:val="fr-FR" w:eastAsia="fr-FR"/>
              </w:rPr>
            </w:pPr>
          </w:p>
        </w:tc>
        <w:tc>
          <w:tcPr>
            <w:tcW w:w="3319"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2"/>
          <w:wBefore w:w="38" w:type="dxa"/>
        </w:trPr>
        <w:tc>
          <w:tcPr>
            <w:tcW w:w="10345" w:type="dxa"/>
            <w:gridSpan w:val="8"/>
          </w:tcPr>
          <w:p>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p>
            <w:pPr>
              <w:tabs>
                <w:tab w:val="left" w:pos="2835"/>
                <w:tab w:val="left" w:pos="3402"/>
              </w:tabs>
              <w:spacing w:after="0" w:line="240" w:lineRule="auto"/>
              <w:rPr>
                <w:rFonts w:eastAsia="Times New Roman"/>
                <w:i/>
                <w:lang w:val="fr-FR" w:eastAsia="fr-FR"/>
              </w:rPr>
            </w:pPr>
          </w:p>
          <w:p>
            <w:pPr>
              <w:tabs>
                <w:tab w:val="left" w:pos="2835"/>
                <w:tab w:val="left" w:pos="3402"/>
              </w:tabs>
              <w:spacing w:after="0" w:line="240" w:lineRule="auto"/>
              <w:rPr>
                <w:rFonts w:eastAsia="Times New Roman"/>
                <w:i/>
                <w:lang w:val="fr-FR" w:eastAsia="fr-FR"/>
              </w:rPr>
            </w:pPr>
          </w:p>
        </w:tc>
      </w:tr>
      <w:tr>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55" w:type="dxa"/>
          <w:jc w:val="center"/>
        </w:trPr>
        <w:tc>
          <w:tcPr>
            <w:tcW w:w="1548" w:type="dxa"/>
            <w:gridSpan w:val="3"/>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Annexe 4</w:t>
            </w:r>
          </w:p>
        </w:tc>
        <w:tc>
          <w:tcPr>
            <w:tcW w:w="2880"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Dérogation pour l’année scolaire 2024-2025</w:t>
            </w:r>
          </w:p>
        </w:tc>
        <w:tc>
          <w:tcPr>
            <w:tcW w:w="5400"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 pour le 22 mars 2024</w:t>
            </w:r>
          </w:p>
          <w:p>
            <w:pPr>
              <w:suppressAutoHyphens/>
              <w:spacing w:before="60" w:after="60" w:line="240" w:lineRule="auto"/>
              <w:jc w:val="center"/>
              <w:rPr>
                <w:rFonts w:eastAsia="Arial" w:cs="Arial"/>
                <w:b/>
                <w:lang w:val="fr-FR" w:eastAsia="ar-SA"/>
              </w:rPr>
            </w:pPr>
          </w:p>
        </w:tc>
      </w:tr>
      <w:tr>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55" w:type="dxa"/>
          <w:jc w:val="center"/>
        </w:trPr>
        <w:tc>
          <w:tcPr>
            <w:tcW w:w="9828" w:type="dxa"/>
            <w:gridSpan w:val="9"/>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uppressAutoHyphens/>
              <w:spacing w:after="0" w:line="240" w:lineRule="auto"/>
              <w:jc w:val="center"/>
              <w:rPr>
                <w:rFonts w:eastAsia="Arial" w:cs="Arial"/>
                <w:b/>
                <w:i/>
                <w:lang w:val="fr-FR" w:eastAsia="ar-SA"/>
              </w:rPr>
            </w:pPr>
            <w:r>
              <w:rPr>
                <w:rFonts w:eastAsia="Arial" w:cs="Arial"/>
                <w:b/>
                <w:i/>
                <w:lang w:val="fr-FR" w:eastAsia="ar-SA"/>
              </w:rPr>
              <w:t xml:space="preserve">Demande de DEROGATION à l’obligation de fermeture d’une école </w:t>
            </w:r>
          </w:p>
          <w:p>
            <w:pPr>
              <w:suppressAutoHyphens/>
              <w:spacing w:after="0" w:line="240" w:lineRule="auto"/>
              <w:jc w:val="center"/>
              <w:rPr>
                <w:rFonts w:eastAsia="Arial" w:cs="Arial"/>
                <w:lang w:val="fr-FR" w:eastAsia="ar-SA"/>
              </w:rPr>
            </w:pPr>
          </w:p>
        </w:tc>
      </w:tr>
    </w:tbl>
    <w:p>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pPr>
        <w:numPr>
          <w:ilvl w:val="0"/>
          <w:numId w:val="8"/>
        </w:numPr>
        <w:suppressAutoHyphens/>
        <w:spacing w:after="0" w:line="240" w:lineRule="auto"/>
        <w:jc w:val="both"/>
        <w:rPr>
          <w:rFonts w:eastAsia="Arial" w:cs="Arial"/>
          <w:lang w:val="fr-FR" w:eastAsia="ar-SA"/>
        </w:rPr>
      </w:pPr>
      <w:r>
        <w:rPr>
          <w:rFonts w:eastAsia="Arial" w:cs="Arial"/>
          <w:lang w:val="fr-FR" w:eastAsia="ar-SA"/>
        </w:rPr>
        <w:t xml:space="preserve">à la Direction générale de l’enseignement obligatoire : </w:t>
      </w:r>
    </w:p>
    <w:p>
      <w:pPr>
        <w:suppressAutoHyphens/>
        <w:spacing w:after="0" w:line="240" w:lineRule="auto"/>
        <w:ind w:left="720"/>
        <w:jc w:val="both"/>
        <w:rPr>
          <w:rFonts w:eastAsia="Arial" w:cs="Arial"/>
          <w:lang w:val="fr-FR" w:eastAsia="ar-SA"/>
        </w:rPr>
      </w:pPr>
      <w:r>
        <w:rPr>
          <w:rFonts w:eastAsia="Arial" w:cs="Arial"/>
          <w:lang w:val="fr-FR" w:eastAsia="ar-SA"/>
        </w:rPr>
        <w:t xml:space="preserve">Par courriel </w:t>
      </w:r>
      <w:hyperlink r:id="rId11" w:history="1">
        <w:r>
          <w:rPr>
            <w:rFonts w:eastAsia="Arial" w:cs="Arial"/>
            <w:color w:val="0000FF"/>
            <w:u w:val="single"/>
            <w:lang w:val="fr-FR" w:eastAsia="ar-SA"/>
          </w:rPr>
          <w:t>structures.secondaire.ordi@cfwb.be</w:t>
        </w:r>
      </w:hyperlink>
      <w:r>
        <w:rPr>
          <w:rFonts w:eastAsia="Arial" w:cs="Arial"/>
          <w:lang w:val="fr-FR" w:eastAsia="ar-SA"/>
        </w:rPr>
        <w:t xml:space="preserve">  </w:t>
      </w:r>
    </w:p>
    <w:p>
      <w:pPr>
        <w:numPr>
          <w:ilvl w:val="0"/>
          <w:numId w:val="8"/>
        </w:numPr>
        <w:suppressAutoHyphens/>
        <w:spacing w:after="0" w:line="240" w:lineRule="auto"/>
        <w:jc w:val="both"/>
        <w:rPr>
          <w:rFonts w:eastAsia="Arial" w:cs="Arial"/>
          <w:lang w:val="fr-FR" w:eastAsia="ar-SA"/>
        </w:rPr>
      </w:pPr>
      <w:r>
        <w:rPr>
          <w:rFonts w:eastAsia="Arial"/>
          <w:b/>
          <w:lang w:val="fr-FR" w:eastAsia="ar-SA"/>
        </w:rPr>
        <w:t>soit</w:t>
      </w:r>
      <w:r>
        <w:rPr>
          <w:rFonts w:eastAsia="Arial"/>
          <w:lang w:val="fr-FR" w:eastAsia="ar-SA"/>
        </w:rPr>
        <w:t xml:space="preserve"> à l'organe de représentation et de coordination, </w:t>
      </w:r>
    </w:p>
    <w:p>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pPr>
        <w:numPr>
          <w:ilvl w:val="0"/>
          <w:numId w:val="8"/>
        </w:numPr>
        <w:suppressAutoHyphens/>
        <w:spacing w:after="0" w:line="240" w:lineRule="auto"/>
        <w:jc w:val="both"/>
        <w:rPr>
          <w:rFonts w:eastAsia="Arial" w:cs="Arial"/>
          <w:lang w:val="fr-FR" w:eastAsia="ar-SA"/>
        </w:rPr>
      </w:pPr>
      <w:r>
        <w:rPr>
          <w:rFonts w:eastAsia="Arial"/>
          <w:lang w:val="fr-FR" w:eastAsia="ar-SA"/>
        </w:rPr>
        <w:t>au Comité de concertation</w:t>
      </w:r>
    </w:p>
    <w:p>
      <w:pPr>
        <w:suppressAutoHyphens/>
        <w:spacing w:after="0" w:line="240" w:lineRule="auto"/>
        <w:rPr>
          <w:rFonts w:eastAsia="Arial" w:cs="Arial"/>
          <w:lang w:val="fr-FR" w:eastAsia="ar-SA"/>
        </w:rPr>
      </w:pP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0"/>
        <w:gridCol w:w="2036"/>
      </w:tblGrid>
      <w:tr>
        <w:trPr>
          <w:jc w:val="center"/>
        </w:trPr>
        <w:tc>
          <w:tcPr>
            <w:tcW w:w="7580"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036"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9616"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5bis, §2, du décret du 29 juillet 1992, tel que modifié (dérogation à l’obligation de fermeture d’une école).</w:t>
      </w:r>
    </w:p>
    <w:p>
      <w:pPr>
        <w:spacing w:after="0" w:line="240" w:lineRule="auto"/>
        <w:rPr>
          <w:rFonts w:eastAsia="Times New Roman"/>
          <w:lang w:val="fr-FR" w:eastAsia="fr-FR"/>
        </w:rPr>
      </w:pPr>
      <w:r>
        <w:rPr>
          <w:rFonts w:eastAsia="Times New Roman"/>
          <w:i/>
          <w:lang w:val="fr-FR" w:eastAsia="fr-FR"/>
        </w:rPr>
        <w:t>Les raisons de cette demande sont explicitées ci-dessous: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578"/>
        <w:gridCol w:w="1985"/>
        <w:gridCol w:w="2976"/>
      </w:tblGrid>
      <w:tr>
        <w:tc>
          <w:tcPr>
            <w:tcW w:w="2384" w:type="dxa"/>
          </w:tcPr>
          <w:p>
            <w:pPr>
              <w:spacing w:after="0" w:line="240" w:lineRule="auto"/>
              <w:jc w:val="center"/>
              <w:rPr>
                <w:rFonts w:eastAsia="Times New Roman"/>
                <w:b/>
                <w:lang w:val="fr-FR" w:eastAsia="fr-FR"/>
              </w:rPr>
            </w:pPr>
            <w:r>
              <w:rPr>
                <w:rFonts w:eastAsia="Times New Roman"/>
                <w:b/>
                <w:lang w:val="fr-FR" w:eastAsia="fr-FR"/>
              </w:rPr>
              <w:t>Critères du décret</w:t>
            </w:r>
          </w:p>
        </w:tc>
        <w:tc>
          <w:tcPr>
            <w:tcW w:w="2578" w:type="dxa"/>
          </w:tcPr>
          <w:p>
            <w:pPr>
              <w:spacing w:after="0" w:line="240" w:lineRule="auto"/>
              <w:jc w:val="center"/>
              <w:rPr>
                <w:rFonts w:eastAsia="Times New Roman"/>
                <w:b/>
                <w:lang w:val="fr-FR" w:eastAsia="fr-FR"/>
              </w:rPr>
            </w:pPr>
            <w:r>
              <w:rPr>
                <w:rFonts w:eastAsia="Times New Roman"/>
                <w:b/>
                <w:lang w:val="fr-FR" w:eastAsia="fr-FR"/>
              </w:rPr>
              <w:t>Indicateurs</w:t>
            </w:r>
          </w:p>
        </w:tc>
        <w:tc>
          <w:tcPr>
            <w:tcW w:w="1985" w:type="dxa"/>
          </w:tcPr>
          <w:p>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976" w:type="dxa"/>
            <w:vAlign w:val="center"/>
          </w:tcPr>
          <w:p>
            <w:pPr>
              <w:spacing w:after="0" w:line="240" w:lineRule="auto"/>
              <w:jc w:val="center"/>
              <w:rPr>
                <w:rFonts w:eastAsia="Times New Roman"/>
                <w:b/>
                <w:lang w:val="fr-FR" w:eastAsia="fr-FR"/>
              </w:rPr>
            </w:pPr>
            <w:r>
              <w:rPr>
                <w:rFonts w:eastAsia="Times New Roman"/>
                <w:b/>
                <w:lang w:val="fr-FR" w:eastAsia="fr-FR"/>
              </w:rPr>
              <w:t>Motivations</w:t>
            </w:r>
          </w:p>
        </w:tc>
      </w:tr>
      <w:tr>
        <w:tc>
          <w:tcPr>
            <w:tcW w:w="2384" w:type="dxa"/>
            <w:vMerge w:val="restart"/>
            <w:vAlign w:val="center"/>
          </w:tcPr>
          <w:p>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578" w:type="dxa"/>
          </w:tcPr>
          <w:p>
            <w:pPr>
              <w:spacing w:after="0" w:line="240" w:lineRule="auto"/>
              <w:rPr>
                <w:rFonts w:eastAsia="Times New Roman"/>
                <w:lang w:val="fr-FR" w:eastAsia="fr-FR"/>
              </w:rPr>
            </w:pPr>
            <w:r>
              <w:rPr>
                <w:rFonts w:eastAsia="Times New Roman"/>
                <w:lang w:val="fr-FR" w:eastAsia="fr-FR"/>
              </w:rPr>
              <w:t>A1. L’évolution de la population est positive et permet d’espérer un « rattrapage » de la norme, la population actuelle atteignant au minimum 90% de la norme.</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c>
          <w:tcPr>
            <w:tcW w:w="2384" w:type="dxa"/>
            <w:vMerge/>
            <w:vAlign w:val="center"/>
          </w:tcPr>
          <w:p>
            <w:pPr>
              <w:spacing w:after="0" w:line="240" w:lineRule="auto"/>
              <w:jc w:val="center"/>
              <w:rPr>
                <w:rFonts w:eastAsia="Times New Roman"/>
                <w:lang w:val="fr-FR" w:eastAsia="fr-FR"/>
              </w:rPr>
            </w:pPr>
          </w:p>
        </w:tc>
        <w:tc>
          <w:tcPr>
            <w:tcW w:w="2578" w:type="dxa"/>
          </w:tcPr>
          <w:p>
            <w:pPr>
              <w:spacing w:after="0" w:line="240" w:lineRule="auto"/>
              <w:rPr>
                <w:rFonts w:eastAsia="Times New Roman"/>
                <w:lang w:val="fr-FR" w:eastAsia="fr-FR"/>
              </w:rPr>
            </w:pPr>
            <w:r>
              <w:rPr>
                <w:rFonts w:eastAsia="Times New Roman"/>
                <w:lang w:val="fr-FR" w:eastAsia="fr-FR"/>
              </w:rPr>
              <w:t>A2. La fusion ou la restructuration envisagée est retardée au 1</w:t>
            </w:r>
            <w:r>
              <w:rPr>
                <w:rFonts w:eastAsia="Times New Roman"/>
                <w:vertAlign w:val="superscript"/>
                <w:lang w:val="fr-FR" w:eastAsia="fr-FR"/>
              </w:rPr>
              <w:t>er</w:t>
            </w:r>
            <w:r>
              <w:rPr>
                <w:rFonts w:eastAsia="Times New Roman"/>
                <w:lang w:val="fr-FR" w:eastAsia="fr-FR"/>
              </w:rPr>
              <w:t xml:space="preserve"> septembre suivant en raison de circonstances exceptionnelles.</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tc>
      </w:tr>
      <w:tr>
        <w:tc>
          <w:tcPr>
            <w:tcW w:w="2384" w:type="dxa"/>
            <w:vAlign w:val="center"/>
          </w:tcPr>
          <w:p>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578" w:type="dxa"/>
          </w:tcPr>
          <w:p>
            <w:pPr>
              <w:spacing w:after="0" w:line="240" w:lineRule="auto"/>
              <w:rPr>
                <w:rFonts w:eastAsia="Times New Roman"/>
                <w:lang w:val="fr-FR" w:eastAsia="fr-FR"/>
              </w:rPr>
            </w:pPr>
            <w:r>
              <w:rPr>
                <w:rFonts w:eastAsia="Times New Roman"/>
                <w:lang w:val="fr-FR" w:eastAsia="fr-FR"/>
              </w:rPr>
              <w:t>B1. L’établissement est seul de son genre  dans la zone à proposer tel ou tel  projet pédagogique ou éducatif.</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c>
          <w:tcPr>
            <w:tcW w:w="2384" w:type="dxa"/>
            <w:vAlign w:val="center"/>
          </w:tcPr>
          <w:p>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578" w:type="dxa"/>
          </w:tcPr>
          <w:p>
            <w:pPr>
              <w:spacing w:after="0" w:line="240" w:lineRule="auto"/>
              <w:rPr>
                <w:rFonts w:eastAsia="Times New Roman"/>
                <w:lang w:val="fr-FR" w:eastAsia="fr-FR"/>
              </w:rPr>
            </w:pPr>
            <w:r>
              <w:rPr>
                <w:rFonts w:eastAsia="Times New Roman"/>
                <w:lang w:val="fr-FR" w:eastAsia="fr-FR"/>
              </w:rPr>
              <w:t>C1. Il n’existe pas de possibilité de fusion ou de restructuration dans la zone ou à une distance raisonnable.</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9923" w:type="dxa"/>
            <w:gridSpan w:val="4"/>
          </w:tcPr>
          <w:p>
            <w:pPr>
              <w:tabs>
                <w:tab w:val="left" w:pos="2835"/>
                <w:tab w:val="left" w:pos="3402"/>
              </w:tabs>
              <w:spacing w:before="120" w:after="0" w:line="240" w:lineRule="auto"/>
              <w:rPr>
                <w:rFonts w:eastAsia="Times New Roman"/>
                <w:i/>
                <w:lang w:val="fr-FR" w:eastAsia="fr-FR"/>
              </w:rPr>
            </w:pPr>
            <w:r>
              <w:rPr>
                <w:rFonts w:eastAsia="Times New Roman"/>
                <w:i/>
                <w:lang w:val="fr-FR" w:eastAsia="fr-FR"/>
              </w:rPr>
              <w:t>Date, nom, qualité et signature du demandeur</w:t>
            </w:r>
          </w:p>
        </w:tc>
      </w:tr>
    </w:tbl>
    <w:p>
      <w:pPr>
        <w:spacing w:after="0" w:line="240" w:lineRule="auto"/>
        <w:jc w:val="center"/>
        <w:outlineLvl w:val="0"/>
        <w:rPr>
          <w:rFonts w:eastAsia="Times New Roman"/>
          <w:b/>
          <w:u w:val="single"/>
          <w:lang w:val="fr-FR" w:eastAsia="fr-FR"/>
        </w:rPr>
      </w:pPr>
    </w:p>
    <w:p>
      <w:pPr>
        <w:spacing w:after="0" w:line="240" w:lineRule="auto"/>
        <w:jc w:val="center"/>
        <w:outlineLvl w:val="0"/>
        <w:rPr>
          <w:rFonts w:eastAsia="Times New Roman"/>
          <w:b/>
          <w:u w:val="single"/>
          <w:lang w:val="fr-FR" w:eastAsia="fr-FR"/>
        </w:rPr>
      </w:pPr>
    </w:p>
    <w:p>
      <w:pPr>
        <w:spacing w:after="0" w:line="240" w:lineRule="auto"/>
        <w:jc w:val="center"/>
        <w:outlineLvl w:val="0"/>
        <w:rPr>
          <w:rFonts w:eastAsia="Times New Roman"/>
          <w:b/>
          <w:u w:val="single"/>
          <w:lang w:val="fr-FR" w:eastAsia="fr-FR"/>
        </w:rPr>
      </w:pPr>
    </w:p>
    <w:p>
      <w:pPr>
        <w:spacing w:after="0" w:line="240" w:lineRule="auto"/>
        <w:outlineLvl w:val="0"/>
        <w:rPr>
          <w:rFonts w:eastAsia="Times New Roman"/>
          <w:b/>
          <w:u w:val="single"/>
          <w:lang w:val="fr-FR" w:eastAsia="fr-FR"/>
        </w:rPr>
      </w:pPr>
    </w:p>
    <w:tbl>
      <w:tblPr>
        <w:tblW w:w="9828" w:type="dxa"/>
        <w:jc w:val="center"/>
        <w:tblLook w:val="01E0" w:firstRow="1" w:lastRow="1" w:firstColumn="1" w:lastColumn="1" w:noHBand="0" w:noVBand="0"/>
      </w:tblPr>
      <w:tblGrid>
        <w:gridCol w:w="1229"/>
        <w:gridCol w:w="3199"/>
        <w:gridCol w:w="5400"/>
      </w:tblGrid>
      <w:tr>
        <w:trPr>
          <w:jc w:val="center"/>
        </w:trPr>
        <w:tc>
          <w:tcPr>
            <w:tcW w:w="1229"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b/>
                <w:bCs/>
                <w:i/>
                <w:iCs/>
                <w:lang w:val="fr-FR" w:eastAsia="ar-SA"/>
              </w:rPr>
              <w:br w:type="page"/>
            </w:r>
            <w:r>
              <w:rPr>
                <w:rFonts w:eastAsia="Arial" w:cs="Arial"/>
                <w:b/>
                <w:lang w:val="fr-FR" w:eastAsia="ar-SA"/>
              </w:rPr>
              <w:t>Annexe 5</w:t>
            </w:r>
          </w:p>
        </w:tc>
        <w:tc>
          <w:tcPr>
            <w:tcW w:w="3199"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Demande d’autorisation pour l’année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 date recommandée 22 mars 2024 et avant fin de l’année scolaire 2023-2024</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uppressAutoHyphens/>
              <w:spacing w:after="0" w:line="240" w:lineRule="auto"/>
              <w:jc w:val="center"/>
              <w:rPr>
                <w:rFonts w:eastAsia="Arial" w:cs="Arial"/>
                <w:b/>
                <w:i/>
                <w:lang w:val="fr-FR" w:eastAsia="ar-SA"/>
              </w:rPr>
            </w:pPr>
            <w:r>
              <w:rPr>
                <w:rFonts w:eastAsia="Arial" w:cs="Arial"/>
                <w:b/>
                <w:i/>
                <w:lang w:val="fr-FR" w:eastAsia="ar-SA"/>
              </w:rPr>
              <w:t xml:space="preserve">Demande d‘AUTORISATION de restructuration de plusieurs écoles </w:t>
            </w:r>
          </w:p>
          <w:p>
            <w:pPr>
              <w:suppressAutoHyphens/>
              <w:spacing w:after="0" w:line="240" w:lineRule="auto"/>
              <w:jc w:val="center"/>
              <w:rPr>
                <w:rFonts w:eastAsia="Arial" w:cs="Arial"/>
                <w:lang w:val="fr-FR" w:eastAsia="ar-SA"/>
              </w:rPr>
            </w:pPr>
          </w:p>
        </w:tc>
      </w:tr>
    </w:tbl>
    <w:p>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pPr>
        <w:numPr>
          <w:ilvl w:val="0"/>
          <w:numId w:val="10"/>
        </w:numPr>
        <w:suppressAutoHyphens/>
        <w:spacing w:after="0" w:line="240" w:lineRule="auto"/>
        <w:jc w:val="both"/>
        <w:rPr>
          <w:rFonts w:eastAsia="Arial" w:cs="Arial"/>
          <w:lang w:val="fr-FR" w:eastAsia="ar-SA"/>
        </w:rPr>
      </w:pPr>
      <w:r>
        <w:rPr>
          <w:rFonts w:eastAsia="Arial" w:cs="Arial"/>
          <w:lang w:val="fr-FR" w:eastAsia="ar-SA"/>
        </w:rPr>
        <w:t xml:space="preserve">à la Direction générale de l’enseignement obligatoire : </w:t>
      </w:r>
    </w:p>
    <w:p>
      <w:pPr>
        <w:suppressAutoHyphens/>
        <w:spacing w:after="0" w:line="240" w:lineRule="auto"/>
        <w:ind w:left="720"/>
        <w:jc w:val="both"/>
        <w:rPr>
          <w:rFonts w:eastAsia="Arial" w:cs="Arial"/>
          <w:lang w:val="fr-FR" w:eastAsia="ar-SA"/>
        </w:rPr>
      </w:pPr>
      <w:r>
        <w:rPr>
          <w:rFonts w:eastAsia="Arial" w:cs="Arial"/>
          <w:lang w:val="fr-FR" w:eastAsia="ar-SA"/>
        </w:rPr>
        <w:t xml:space="preserve">Par courriel </w:t>
      </w:r>
      <w:hyperlink r:id="rId12" w:history="1">
        <w:r>
          <w:rPr>
            <w:rFonts w:eastAsia="Arial" w:cs="Arial"/>
            <w:color w:val="0000FF"/>
            <w:u w:val="single"/>
            <w:lang w:val="fr-FR" w:eastAsia="ar-SA"/>
          </w:rPr>
          <w:t>structures.secondaire.ordi@cfwb.be</w:t>
        </w:r>
      </w:hyperlink>
      <w:r>
        <w:rPr>
          <w:rFonts w:eastAsia="Arial" w:cs="Arial"/>
          <w:lang w:val="fr-FR" w:eastAsia="ar-SA"/>
        </w:rPr>
        <w:t xml:space="preserve">  </w:t>
      </w:r>
    </w:p>
    <w:p>
      <w:pPr>
        <w:numPr>
          <w:ilvl w:val="0"/>
          <w:numId w:val="10"/>
        </w:numPr>
        <w:suppressAutoHyphens/>
        <w:spacing w:after="0" w:line="240" w:lineRule="auto"/>
        <w:jc w:val="both"/>
        <w:rPr>
          <w:rFonts w:eastAsia="Arial" w:cs="Arial"/>
          <w:lang w:val="fr-FR" w:eastAsia="ar-SA"/>
        </w:rPr>
      </w:pPr>
      <w:r>
        <w:rPr>
          <w:rFonts w:eastAsia="Arial"/>
          <w:b/>
          <w:lang w:val="fr-FR" w:eastAsia="ar-SA"/>
        </w:rPr>
        <w:t>soit</w:t>
      </w:r>
      <w:r>
        <w:rPr>
          <w:rFonts w:eastAsia="Arial"/>
          <w:lang w:val="fr-FR" w:eastAsia="ar-SA"/>
        </w:rPr>
        <w:t xml:space="preserve"> à l'organe de représentation et de coordination, </w:t>
      </w:r>
    </w:p>
    <w:p>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pPr>
        <w:numPr>
          <w:ilvl w:val="0"/>
          <w:numId w:val="10"/>
        </w:numPr>
        <w:suppressAutoHyphens/>
        <w:spacing w:after="0" w:line="240" w:lineRule="auto"/>
        <w:jc w:val="both"/>
        <w:rPr>
          <w:rFonts w:eastAsia="Arial" w:cs="Arial"/>
          <w:lang w:val="fr-FR" w:eastAsia="ar-SA"/>
        </w:rPr>
      </w:pPr>
      <w:r>
        <w:rPr>
          <w:rFonts w:eastAsia="Arial"/>
          <w:lang w:val="fr-FR" w:eastAsia="ar-SA"/>
        </w:rPr>
        <w:t>au Comité de concertation</w:t>
      </w:r>
    </w:p>
    <w:p>
      <w:pPr>
        <w:suppressAutoHyphens/>
        <w:spacing w:after="0" w:line="240" w:lineRule="auto"/>
        <w:rPr>
          <w:rFonts w:eastAsia="Arial" w:cs="Arial"/>
          <w:lang w:val="fr-FR" w:eastAsia="ar-S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2"/>
        <w:gridCol w:w="2409"/>
      </w:tblGrid>
      <w:tr>
        <w:trPr>
          <w:jc w:val="center"/>
        </w:trPr>
        <w:tc>
          <w:tcPr>
            <w:tcW w:w="7792"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409"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10201"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autorisation conforme aux dispositions de l’article 5quater, §1</w:t>
      </w:r>
      <w:r>
        <w:rPr>
          <w:rFonts w:eastAsia="Times New Roman"/>
          <w:i/>
          <w:vertAlign w:val="superscript"/>
          <w:lang w:val="fr-FR" w:eastAsia="fr-FR"/>
        </w:rPr>
        <w:t>er</w:t>
      </w:r>
      <w:r>
        <w:rPr>
          <w:rFonts w:eastAsia="Times New Roman"/>
          <w:i/>
          <w:lang w:val="fr-FR" w:eastAsia="fr-FR"/>
        </w:rPr>
        <w:t>, du décret du 29 juillet 1992, tel que modifié (autorisation de restructuration des plusieurs écoles).</w:t>
      </w:r>
    </w:p>
    <w:p>
      <w:pPr>
        <w:spacing w:after="0" w:line="240" w:lineRule="auto"/>
        <w:rPr>
          <w:rFonts w:eastAsia="Times New Roman"/>
          <w:i/>
          <w:lang w:val="fr-FR" w:eastAsia="fr-FR"/>
        </w:rPr>
      </w:pPr>
    </w:p>
    <w:p>
      <w:pPr>
        <w:spacing w:after="0" w:line="240" w:lineRule="auto"/>
        <w:rPr>
          <w:rFonts w:eastAsia="Times New Roman"/>
          <w:i/>
          <w:lang w:val="fr-FR" w:eastAsia="fr-FR"/>
        </w:rPr>
      </w:pPr>
      <w:r>
        <w:rPr>
          <w:rFonts w:eastAsia="Times New Roman"/>
          <w:i/>
          <w:lang w:val="fr-FR" w:eastAsia="fr-FR"/>
        </w:rPr>
        <w:t>Les raisons de cette demande sont explicitées ci-dessous:</w:t>
      </w:r>
    </w:p>
    <w:p>
      <w:pPr>
        <w:spacing w:after="0" w:line="240" w:lineRule="auto"/>
        <w:jc w:val="both"/>
        <w:rPr>
          <w:rFonts w:eastAsia="Times New Roman"/>
          <w:lang w:val="fr-FR" w:eastAsia="fr-FR"/>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578"/>
        <w:gridCol w:w="1985"/>
        <w:gridCol w:w="2976"/>
      </w:tblGrid>
      <w:tr>
        <w:tc>
          <w:tcPr>
            <w:tcW w:w="2667" w:type="dxa"/>
          </w:tcPr>
          <w:p>
            <w:pPr>
              <w:spacing w:after="0" w:line="240" w:lineRule="auto"/>
              <w:jc w:val="center"/>
              <w:rPr>
                <w:rFonts w:eastAsia="Times New Roman"/>
                <w:b/>
                <w:lang w:val="fr-FR" w:eastAsia="fr-FR"/>
              </w:rPr>
            </w:pPr>
            <w:r>
              <w:rPr>
                <w:rFonts w:eastAsia="Times New Roman"/>
                <w:b/>
                <w:lang w:val="fr-FR" w:eastAsia="fr-FR"/>
              </w:rPr>
              <w:t>Critères du décret</w:t>
            </w:r>
          </w:p>
        </w:tc>
        <w:tc>
          <w:tcPr>
            <w:tcW w:w="2578" w:type="dxa"/>
          </w:tcPr>
          <w:p>
            <w:pPr>
              <w:spacing w:after="0" w:line="240" w:lineRule="auto"/>
              <w:jc w:val="center"/>
              <w:rPr>
                <w:rFonts w:eastAsia="Times New Roman"/>
                <w:b/>
                <w:lang w:val="fr-FR" w:eastAsia="fr-FR"/>
              </w:rPr>
            </w:pPr>
            <w:r>
              <w:rPr>
                <w:rFonts w:eastAsia="Times New Roman"/>
                <w:b/>
                <w:lang w:val="fr-FR" w:eastAsia="fr-FR"/>
              </w:rPr>
              <w:t>Indicateurs</w:t>
            </w:r>
          </w:p>
        </w:tc>
        <w:tc>
          <w:tcPr>
            <w:tcW w:w="1985" w:type="dxa"/>
          </w:tcPr>
          <w:p>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976" w:type="dxa"/>
            <w:vAlign w:val="center"/>
          </w:tcPr>
          <w:p>
            <w:pPr>
              <w:spacing w:after="0" w:line="240" w:lineRule="auto"/>
              <w:jc w:val="center"/>
              <w:rPr>
                <w:rFonts w:eastAsia="Times New Roman"/>
                <w:b/>
                <w:lang w:val="fr-FR" w:eastAsia="fr-FR"/>
              </w:rPr>
            </w:pPr>
            <w:r>
              <w:rPr>
                <w:rFonts w:eastAsia="Times New Roman"/>
                <w:b/>
                <w:lang w:val="fr-FR" w:eastAsia="fr-FR"/>
              </w:rPr>
              <w:t>Motivations</w:t>
            </w:r>
          </w:p>
        </w:tc>
      </w:tr>
      <w:tr>
        <w:tc>
          <w:tcPr>
            <w:tcW w:w="2667" w:type="dxa"/>
            <w:vAlign w:val="center"/>
          </w:tcPr>
          <w:p>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578" w:type="dxa"/>
          </w:tcPr>
          <w:p>
            <w:pPr>
              <w:spacing w:after="0" w:line="240" w:lineRule="auto"/>
              <w:rPr>
                <w:rFonts w:eastAsia="Times New Roman"/>
                <w:lang w:val="fr-FR" w:eastAsia="fr-FR"/>
              </w:rPr>
            </w:pPr>
            <w:r>
              <w:rPr>
                <w:rFonts w:eastAsia="Times New Roman"/>
                <w:lang w:val="fr-FR" w:eastAsia="fr-FR"/>
              </w:rPr>
              <w:t>A1. La restructuration permet d’avoir une population scolaire assurant une garantie de viabilité dans l’(les) établissement(s) restructuré(s).</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c>
          <w:tcPr>
            <w:tcW w:w="2667" w:type="dxa"/>
            <w:vAlign w:val="center"/>
          </w:tcPr>
          <w:p>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578" w:type="dxa"/>
          </w:tcPr>
          <w:p>
            <w:pPr>
              <w:spacing w:after="0" w:line="240" w:lineRule="auto"/>
              <w:rPr>
                <w:rFonts w:eastAsia="Times New Roman"/>
                <w:lang w:val="fr-FR" w:eastAsia="fr-FR"/>
              </w:rPr>
            </w:pPr>
            <w:r>
              <w:rPr>
                <w:rFonts w:eastAsia="Times New Roman"/>
                <w:lang w:val="fr-FR" w:eastAsia="fr-FR"/>
              </w:rPr>
              <w:t>B1. La restructuration permet de sauvegarder un projet éducatif et pédagogique particulier.</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c>
          <w:tcPr>
            <w:tcW w:w="2667" w:type="dxa"/>
            <w:vAlign w:val="center"/>
          </w:tcPr>
          <w:p>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578" w:type="dxa"/>
          </w:tcPr>
          <w:p>
            <w:pPr>
              <w:spacing w:after="0" w:line="240" w:lineRule="auto"/>
              <w:rPr>
                <w:rFonts w:eastAsia="Times New Roman"/>
                <w:lang w:val="fr-FR" w:eastAsia="fr-FR"/>
              </w:rPr>
            </w:pPr>
            <w:r>
              <w:rPr>
                <w:rFonts w:eastAsia="Times New Roman"/>
                <w:lang w:val="fr-FR" w:eastAsia="fr-FR"/>
              </w:rPr>
              <w:t>C1. La restructuration ne modifie pas l’offre globale dans la zone ou dans les zones concernée(s), en cas de restructuration d’établissements appartenant à des zones contiguës.</w:t>
            </w:r>
          </w:p>
        </w:tc>
        <w:tc>
          <w:tcPr>
            <w:tcW w:w="1985" w:type="dxa"/>
          </w:tcPr>
          <w:p>
            <w:pPr>
              <w:spacing w:after="0" w:line="240" w:lineRule="auto"/>
              <w:rPr>
                <w:rFonts w:eastAsia="Times New Roman"/>
                <w:lang w:val="fr-FR" w:eastAsia="fr-FR"/>
              </w:rPr>
            </w:pPr>
          </w:p>
        </w:tc>
        <w:tc>
          <w:tcPr>
            <w:tcW w:w="2976"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bl>
    <w:p>
      <w:pPr>
        <w:spacing w:after="0" w:line="240" w:lineRule="auto"/>
        <w:rPr>
          <w:rFonts w:eastAsia="Times New Roman"/>
          <w:i/>
          <w:lang w:val="fr-FR" w:eastAsia="fr-FR"/>
        </w:rPr>
      </w:pPr>
    </w:p>
    <w:p>
      <w:pPr>
        <w:spacing w:after="0" w:line="240" w:lineRule="auto"/>
        <w:rPr>
          <w:rFonts w:eastAsia="Times New Roman"/>
          <w:i/>
          <w:lang w:val="fr-FR" w:eastAsia="fr-FR"/>
        </w:rPr>
      </w:pPr>
    </w:p>
    <w:tbl>
      <w:tblPr>
        <w:tblW w:w="10629" w:type="dxa"/>
        <w:tblInd w:w="-284" w:type="dxa"/>
        <w:tblLayout w:type="fixed"/>
        <w:tblCellMar>
          <w:left w:w="70" w:type="dxa"/>
          <w:right w:w="70" w:type="dxa"/>
        </w:tblCellMar>
        <w:tblLook w:val="0000" w:firstRow="0" w:lastRow="0" w:firstColumn="0" w:lastColumn="0" w:noHBand="0" w:noVBand="0"/>
      </w:tblPr>
      <w:tblGrid>
        <w:gridCol w:w="1513"/>
        <w:gridCol w:w="3199"/>
        <w:gridCol w:w="5400"/>
        <w:gridCol w:w="517"/>
      </w:tblGrid>
      <w:tr>
        <w:tc>
          <w:tcPr>
            <w:tcW w:w="10629" w:type="dxa"/>
            <w:gridSpan w:val="4"/>
          </w:tcPr>
          <w:p>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tc>
      </w:tr>
      <w:tr>
        <w:tblPrEx>
          <w:jc w:val="center"/>
          <w:tblInd w:w="0" w:type="dxa"/>
          <w:tblCellMar>
            <w:left w:w="108" w:type="dxa"/>
            <w:right w:w="108" w:type="dxa"/>
          </w:tblCellMar>
          <w:tblLook w:val="01E0" w:firstRow="1" w:lastRow="1" w:firstColumn="1" w:lastColumn="1" w:noHBand="0" w:noVBand="0"/>
        </w:tblPrEx>
        <w:trPr>
          <w:gridAfter w:val="1"/>
          <w:wAfter w:w="517" w:type="dxa"/>
          <w:jc w:val="center"/>
        </w:trPr>
        <w:tc>
          <w:tcPr>
            <w:tcW w:w="1513"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Annexe 6</w:t>
            </w:r>
          </w:p>
        </w:tc>
        <w:tc>
          <w:tcPr>
            <w:tcW w:w="3199"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Demande d’autorisation pour l’année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date recommandée 22 mars 2024 et avant fin de l’année scolaire 2023-2024 </w:t>
            </w:r>
          </w:p>
        </w:tc>
      </w:tr>
      <w:tr>
        <w:tblPrEx>
          <w:jc w:val="center"/>
          <w:tblInd w:w="0" w:type="dxa"/>
          <w:tblCellMar>
            <w:left w:w="108" w:type="dxa"/>
            <w:right w:w="108" w:type="dxa"/>
          </w:tblCellMar>
          <w:tblLook w:val="01E0" w:firstRow="1" w:lastRow="1" w:firstColumn="1" w:lastColumn="1" w:noHBand="0" w:noVBand="0"/>
        </w:tblPrEx>
        <w:trPr>
          <w:gridAfter w:val="1"/>
          <w:wAfter w:w="517" w:type="dxa"/>
          <w:jc w:val="center"/>
        </w:trPr>
        <w:tc>
          <w:tcPr>
            <w:tcW w:w="10112"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uppressAutoHyphens/>
              <w:spacing w:after="0" w:line="240" w:lineRule="auto"/>
              <w:jc w:val="center"/>
              <w:rPr>
                <w:rFonts w:eastAsia="Arial" w:cs="Arial"/>
                <w:b/>
                <w:i/>
                <w:lang w:val="fr-FR" w:eastAsia="ar-SA"/>
              </w:rPr>
            </w:pPr>
            <w:r>
              <w:rPr>
                <w:rFonts w:eastAsia="Arial" w:cs="Arial"/>
                <w:b/>
                <w:i/>
                <w:lang w:val="fr-FR" w:eastAsia="ar-SA"/>
              </w:rPr>
              <w:t xml:space="preserve">Demande d’autorisation de restructuration de plusieurs écoles </w:t>
            </w:r>
          </w:p>
          <w:p>
            <w:pPr>
              <w:suppressAutoHyphens/>
              <w:spacing w:after="0" w:line="240" w:lineRule="auto"/>
              <w:jc w:val="center"/>
              <w:rPr>
                <w:rFonts w:eastAsia="Arial" w:cs="Arial"/>
                <w:lang w:val="fr-FR" w:eastAsia="ar-SA"/>
              </w:rPr>
            </w:pPr>
            <w:r>
              <w:rPr>
                <w:rFonts w:eastAsia="Arial" w:cs="Arial"/>
                <w:b/>
                <w:i/>
                <w:lang w:val="fr-FR" w:eastAsia="ar-SA"/>
              </w:rPr>
              <w:t>avec émergence d’un DOA</w:t>
            </w:r>
          </w:p>
        </w:tc>
      </w:tr>
    </w:tbl>
    <w:p>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pPr>
        <w:numPr>
          <w:ilvl w:val="0"/>
          <w:numId w:val="11"/>
        </w:numPr>
        <w:suppressAutoHyphens/>
        <w:spacing w:after="0" w:line="240" w:lineRule="auto"/>
        <w:jc w:val="both"/>
        <w:rPr>
          <w:rFonts w:eastAsia="Arial" w:cs="Arial"/>
          <w:lang w:val="fr-FR" w:eastAsia="ar-SA"/>
        </w:rPr>
      </w:pPr>
      <w:r>
        <w:rPr>
          <w:rFonts w:eastAsia="Arial" w:cs="Arial"/>
          <w:lang w:val="fr-FR" w:eastAsia="ar-SA"/>
        </w:rPr>
        <w:t xml:space="preserve">à la Direction générale de l’enseignement obligatoire : </w:t>
      </w:r>
    </w:p>
    <w:p>
      <w:pPr>
        <w:suppressAutoHyphens/>
        <w:spacing w:after="0" w:line="240" w:lineRule="auto"/>
        <w:ind w:left="720"/>
        <w:jc w:val="both"/>
        <w:rPr>
          <w:rFonts w:eastAsia="Arial" w:cs="Arial"/>
          <w:lang w:val="fr-FR" w:eastAsia="ar-SA"/>
        </w:rPr>
      </w:pPr>
      <w:r>
        <w:rPr>
          <w:rFonts w:eastAsia="Arial" w:cs="Arial"/>
          <w:lang w:val="fr-FR" w:eastAsia="ar-SA"/>
        </w:rPr>
        <w:t xml:space="preserve">Par courriel </w:t>
      </w:r>
      <w:hyperlink r:id="rId13" w:history="1">
        <w:r>
          <w:rPr>
            <w:rFonts w:eastAsia="Arial" w:cs="Arial"/>
            <w:color w:val="0000FF"/>
            <w:u w:val="single"/>
            <w:lang w:val="fr-FR" w:eastAsia="ar-SA"/>
          </w:rPr>
          <w:t>structures.secondaire.ordi@cfwb.be</w:t>
        </w:r>
      </w:hyperlink>
      <w:r>
        <w:rPr>
          <w:rFonts w:eastAsia="Arial" w:cs="Arial"/>
          <w:lang w:val="fr-FR" w:eastAsia="ar-SA"/>
        </w:rPr>
        <w:t xml:space="preserve">  </w:t>
      </w:r>
    </w:p>
    <w:p>
      <w:pPr>
        <w:numPr>
          <w:ilvl w:val="0"/>
          <w:numId w:val="11"/>
        </w:numPr>
        <w:suppressAutoHyphens/>
        <w:spacing w:after="0" w:line="240" w:lineRule="auto"/>
        <w:jc w:val="both"/>
        <w:rPr>
          <w:rFonts w:eastAsia="Arial" w:cs="Arial"/>
          <w:lang w:val="fr-FR" w:eastAsia="ar-SA"/>
        </w:rPr>
      </w:pPr>
      <w:r>
        <w:rPr>
          <w:rFonts w:eastAsia="Arial"/>
          <w:b/>
          <w:lang w:val="fr-FR" w:eastAsia="ar-SA"/>
        </w:rPr>
        <w:t>soit</w:t>
      </w:r>
      <w:r>
        <w:rPr>
          <w:rFonts w:eastAsia="Arial"/>
          <w:lang w:val="fr-FR" w:eastAsia="ar-SA"/>
        </w:rPr>
        <w:t xml:space="preserve"> à l'organe de représentation et de coordination, </w:t>
      </w:r>
    </w:p>
    <w:p>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pPr>
        <w:numPr>
          <w:ilvl w:val="0"/>
          <w:numId w:val="11"/>
        </w:numPr>
        <w:suppressAutoHyphens/>
        <w:spacing w:after="0" w:line="240" w:lineRule="auto"/>
        <w:jc w:val="both"/>
        <w:rPr>
          <w:rFonts w:eastAsia="Arial" w:cs="Arial"/>
          <w:lang w:val="fr-FR" w:eastAsia="ar-SA"/>
        </w:rPr>
      </w:pPr>
      <w:r>
        <w:rPr>
          <w:rFonts w:eastAsia="Arial"/>
          <w:lang w:val="fr-FR" w:eastAsia="ar-SA"/>
        </w:rPr>
        <w:t>au Comité de concertation</w:t>
      </w:r>
    </w:p>
    <w:p>
      <w:pPr>
        <w:suppressAutoHyphens/>
        <w:spacing w:after="0" w:line="240" w:lineRule="auto"/>
        <w:rPr>
          <w:rFonts w:eastAsia="Arial" w:cs="Arial"/>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6"/>
        <w:gridCol w:w="2462"/>
      </w:tblGrid>
      <w:tr>
        <w:trPr>
          <w:jc w:val="center"/>
        </w:trPr>
        <w:tc>
          <w:tcPr>
            <w:tcW w:w="7366"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462"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9828"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sz w:val="20"/>
          <w:szCs w:val="20"/>
          <w:lang w:val="fr-FR" w:eastAsia="fr-FR"/>
        </w:rPr>
      </w:pPr>
      <w:proofErr w:type="gramStart"/>
      <w:r>
        <w:rPr>
          <w:rFonts w:eastAsia="Times New Roman"/>
          <w:i/>
          <w:sz w:val="20"/>
          <w:szCs w:val="20"/>
          <w:lang w:val="fr-FR" w:eastAsia="fr-FR"/>
        </w:rPr>
        <w:t>sollicite</w:t>
      </w:r>
      <w:proofErr w:type="gramEnd"/>
      <w:r>
        <w:rPr>
          <w:rFonts w:eastAsia="Times New Roman"/>
          <w:i/>
          <w:sz w:val="20"/>
          <w:szCs w:val="20"/>
          <w:lang w:val="fr-FR" w:eastAsia="fr-FR"/>
        </w:rPr>
        <w:t xml:space="preserve"> du Gouvernement, via le Conseil général de l’enseignement secondaire, une autorisation conforme aux dispositions de l’article 5quater, §1</w:t>
      </w:r>
      <w:r>
        <w:rPr>
          <w:rFonts w:eastAsia="Times New Roman"/>
          <w:i/>
          <w:sz w:val="20"/>
          <w:szCs w:val="20"/>
          <w:vertAlign w:val="superscript"/>
          <w:lang w:val="fr-FR" w:eastAsia="fr-FR"/>
        </w:rPr>
        <w:t>er</w:t>
      </w:r>
      <w:r>
        <w:rPr>
          <w:rFonts w:eastAsia="Times New Roman"/>
          <w:i/>
          <w:sz w:val="20"/>
          <w:szCs w:val="20"/>
          <w:lang w:val="fr-FR" w:eastAsia="fr-FR"/>
        </w:rPr>
        <w:t>, al.4, du décret du 29 juillet 1992, tel que modifié (autorisation de restructuration de plusieurs écoles avec émergence d’un DOA).</w:t>
      </w:r>
    </w:p>
    <w:p>
      <w:pPr>
        <w:spacing w:after="0" w:line="240" w:lineRule="auto"/>
        <w:rPr>
          <w:rFonts w:eastAsia="Times New Roman"/>
          <w:lang w:val="fr-FR" w:eastAsia="fr-FR"/>
        </w:rPr>
      </w:pPr>
      <w:r>
        <w:rPr>
          <w:rFonts w:eastAsia="Times New Roman"/>
          <w:i/>
          <w:lang w:val="fr-FR" w:eastAsia="fr-FR"/>
        </w:rPr>
        <w:t>Les raisons de cette demande sont explicitées ci-dessous:</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6"/>
        <w:gridCol w:w="2720"/>
        <w:gridCol w:w="1984"/>
        <w:gridCol w:w="2694"/>
      </w:tblGrid>
      <w:tr>
        <w:tc>
          <w:tcPr>
            <w:tcW w:w="2526" w:type="dxa"/>
          </w:tcPr>
          <w:p>
            <w:pPr>
              <w:spacing w:after="0" w:line="240" w:lineRule="auto"/>
              <w:jc w:val="center"/>
              <w:rPr>
                <w:rFonts w:eastAsia="Times New Roman"/>
                <w:b/>
                <w:lang w:val="fr-FR" w:eastAsia="fr-FR"/>
              </w:rPr>
            </w:pPr>
            <w:r>
              <w:rPr>
                <w:rFonts w:eastAsia="Times New Roman"/>
                <w:b/>
                <w:lang w:val="fr-FR" w:eastAsia="fr-FR"/>
              </w:rPr>
              <w:t>Critères du décret</w:t>
            </w:r>
          </w:p>
        </w:tc>
        <w:tc>
          <w:tcPr>
            <w:tcW w:w="2720" w:type="dxa"/>
          </w:tcPr>
          <w:p>
            <w:pPr>
              <w:spacing w:after="0" w:line="240" w:lineRule="auto"/>
              <w:jc w:val="center"/>
              <w:rPr>
                <w:rFonts w:eastAsia="Times New Roman"/>
                <w:b/>
                <w:lang w:val="fr-FR" w:eastAsia="fr-FR"/>
              </w:rPr>
            </w:pPr>
            <w:r>
              <w:rPr>
                <w:rFonts w:eastAsia="Times New Roman"/>
                <w:b/>
                <w:lang w:val="fr-FR" w:eastAsia="fr-FR"/>
              </w:rPr>
              <w:t>Indicateurs</w:t>
            </w:r>
          </w:p>
        </w:tc>
        <w:tc>
          <w:tcPr>
            <w:tcW w:w="1984" w:type="dxa"/>
          </w:tcPr>
          <w:p>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694" w:type="dxa"/>
            <w:vAlign w:val="center"/>
          </w:tcPr>
          <w:p>
            <w:pPr>
              <w:spacing w:after="0" w:line="240" w:lineRule="auto"/>
              <w:jc w:val="center"/>
              <w:rPr>
                <w:rFonts w:eastAsia="Times New Roman"/>
                <w:b/>
                <w:lang w:val="fr-FR" w:eastAsia="fr-FR"/>
              </w:rPr>
            </w:pPr>
            <w:r>
              <w:rPr>
                <w:rFonts w:eastAsia="Times New Roman"/>
                <w:b/>
                <w:lang w:val="fr-FR" w:eastAsia="fr-FR"/>
              </w:rPr>
              <w:t>Motivations</w:t>
            </w:r>
          </w:p>
        </w:tc>
      </w:tr>
      <w:tr>
        <w:tc>
          <w:tcPr>
            <w:tcW w:w="2526" w:type="dxa"/>
            <w:vAlign w:val="center"/>
          </w:tcPr>
          <w:p>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720" w:type="dxa"/>
          </w:tcPr>
          <w:p>
            <w:pPr>
              <w:spacing w:after="0" w:line="240" w:lineRule="auto"/>
              <w:rPr>
                <w:rFonts w:eastAsia="Times New Roman"/>
                <w:lang w:val="fr-FR" w:eastAsia="fr-FR"/>
              </w:rPr>
            </w:pPr>
            <w:r>
              <w:rPr>
                <w:rFonts w:eastAsia="Times New Roman"/>
                <w:lang w:val="fr-FR" w:eastAsia="fr-FR"/>
              </w:rPr>
              <w:t>A1. La restructuration permet d’avoir une population scolaire assurant une garantie de viabilité dans l’(les) établissement(s) restructuré(s).</w:t>
            </w:r>
          </w:p>
        </w:tc>
        <w:tc>
          <w:tcPr>
            <w:tcW w:w="1984" w:type="dxa"/>
          </w:tcPr>
          <w:p>
            <w:pPr>
              <w:spacing w:after="0" w:line="240" w:lineRule="auto"/>
              <w:rPr>
                <w:rFonts w:eastAsia="Times New Roman"/>
                <w:lang w:val="fr-FR" w:eastAsia="fr-FR"/>
              </w:rPr>
            </w:pPr>
          </w:p>
        </w:tc>
        <w:tc>
          <w:tcPr>
            <w:tcW w:w="2694"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rPr>
          <w:trHeight w:val="944"/>
        </w:trPr>
        <w:tc>
          <w:tcPr>
            <w:tcW w:w="2526" w:type="dxa"/>
            <w:vMerge w:val="restart"/>
            <w:vAlign w:val="center"/>
          </w:tcPr>
          <w:p>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720" w:type="dxa"/>
          </w:tcPr>
          <w:p>
            <w:pPr>
              <w:spacing w:after="0" w:line="240" w:lineRule="auto"/>
              <w:rPr>
                <w:rFonts w:eastAsia="Times New Roman"/>
                <w:lang w:val="fr-FR" w:eastAsia="fr-FR"/>
              </w:rPr>
            </w:pPr>
            <w:r>
              <w:rPr>
                <w:rFonts w:eastAsia="Times New Roman"/>
                <w:lang w:val="fr-FR" w:eastAsia="fr-FR"/>
              </w:rPr>
              <w:t>B1. La restructuration permet de sauvegarder un projet éducatif et pédagogique particulier.</w:t>
            </w:r>
          </w:p>
        </w:tc>
        <w:tc>
          <w:tcPr>
            <w:tcW w:w="1984" w:type="dxa"/>
          </w:tcPr>
          <w:p>
            <w:pPr>
              <w:spacing w:after="0" w:line="240" w:lineRule="auto"/>
              <w:rPr>
                <w:rFonts w:eastAsia="Times New Roman"/>
                <w:lang w:val="fr-FR" w:eastAsia="fr-FR"/>
              </w:rPr>
            </w:pPr>
          </w:p>
        </w:tc>
        <w:tc>
          <w:tcPr>
            <w:tcW w:w="2694"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c>
          <w:tcPr>
            <w:tcW w:w="2526" w:type="dxa"/>
            <w:vMerge/>
            <w:vAlign w:val="center"/>
          </w:tcPr>
          <w:p>
            <w:pPr>
              <w:spacing w:after="0" w:line="240" w:lineRule="auto"/>
              <w:jc w:val="center"/>
              <w:rPr>
                <w:rFonts w:eastAsia="Times New Roman"/>
                <w:lang w:val="fr-FR" w:eastAsia="fr-FR"/>
              </w:rPr>
            </w:pPr>
          </w:p>
        </w:tc>
        <w:tc>
          <w:tcPr>
            <w:tcW w:w="2720" w:type="dxa"/>
          </w:tcPr>
          <w:p>
            <w:pPr>
              <w:spacing w:after="0" w:line="240" w:lineRule="auto"/>
              <w:rPr>
                <w:rFonts w:eastAsia="Times New Roman"/>
                <w:lang w:val="fr-FR" w:eastAsia="fr-FR"/>
              </w:rPr>
            </w:pPr>
            <w:r>
              <w:rPr>
                <w:rFonts w:eastAsia="Times New Roman"/>
                <w:lang w:val="fr-FR" w:eastAsia="fr-FR"/>
              </w:rPr>
              <w:t>B2. Le projet de DOA correspond aux finalités telles qu’exprimées dans les commentaires du décret du 19 juillet 2011.</w:t>
            </w:r>
          </w:p>
        </w:tc>
        <w:tc>
          <w:tcPr>
            <w:tcW w:w="1984" w:type="dxa"/>
          </w:tcPr>
          <w:p>
            <w:pPr>
              <w:spacing w:after="0" w:line="240" w:lineRule="auto"/>
              <w:rPr>
                <w:rFonts w:eastAsia="Times New Roman"/>
                <w:lang w:val="fr-FR" w:eastAsia="fr-FR"/>
              </w:rPr>
            </w:pPr>
          </w:p>
        </w:tc>
        <w:tc>
          <w:tcPr>
            <w:tcW w:w="2694" w:type="dxa"/>
            <w:vAlign w:val="center"/>
          </w:tcPr>
          <w:p>
            <w:pPr>
              <w:spacing w:after="0" w:line="240" w:lineRule="auto"/>
              <w:rPr>
                <w:rFonts w:eastAsia="Times New Roman"/>
                <w:lang w:val="fr-FR" w:eastAsia="fr-FR"/>
              </w:rPr>
            </w:pPr>
          </w:p>
        </w:tc>
      </w:tr>
      <w:tr>
        <w:tc>
          <w:tcPr>
            <w:tcW w:w="2526" w:type="dxa"/>
            <w:vAlign w:val="center"/>
          </w:tcPr>
          <w:p>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720" w:type="dxa"/>
          </w:tcPr>
          <w:p>
            <w:pPr>
              <w:spacing w:after="0" w:line="240" w:lineRule="auto"/>
              <w:rPr>
                <w:rFonts w:eastAsia="Times New Roman"/>
                <w:lang w:val="fr-FR" w:eastAsia="fr-FR"/>
              </w:rPr>
            </w:pPr>
            <w:r>
              <w:rPr>
                <w:rFonts w:eastAsia="Times New Roman"/>
                <w:lang w:val="fr-FR" w:eastAsia="fr-FR"/>
              </w:rPr>
              <w:t>C1. La restructuration ne modifie pas l’offre globale dans la zone ou dans les zones concernée(s), en cas de restructuration d’établissements appartenant à des zones contiguës.</w:t>
            </w:r>
          </w:p>
        </w:tc>
        <w:tc>
          <w:tcPr>
            <w:tcW w:w="1984" w:type="dxa"/>
          </w:tcPr>
          <w:p>
            <w:pPr>
              <w:spacing w:after="0" w:line="240" w:lineRule="auto"/>
              <w:rPr>
                <w:rFonts w:eastAsia="Times New Roman"/>
                <w:lang w:val="fr-FR" w:eastAsia="fr-FR"/>
              </w:rPr>
            </w:pPr>
          </w:p>
        </w:tc>
        <w:tc>
          <w:tcPr>
            <w:tcW w:w="2694"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bl>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r>
        <w:rPr>
          <w:rFonts w:eastAsia="Times New Roman"/>
          <w:i/>
          <w:lang w:val="fr-FR" w:eastAsia="fr-FR"/>
        </w:rPr>
        <w:lastRenderedPageBreak/>
        <w:t xml:space="preserve">Verso de l’annexe 6 </w:t>
      </w: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bCs/>
          <w:lang w:val="fr-FR" w:eastAsia="fr-FR"/>
        </w:rPr>
      </w:pPr>
      <w:proofErr w:type="gramStart"/>
      <w:r>
        <w:rPr>
          <w:rFonts w:eastAsia="Times New Roman"/>
          <w:bCs/>
          <w:lang w:val="fr-FR" w:eastAsia="fr-FR"/>
        </w:rPr>
        <w:t>Le</w:t>
      </w:r>
      <w:proofErr w:type="gramEnd"/>
      <w:r>
        <w:rPr>
          <w:rFonts w:eastAsia="Times New Roman"/>
          <w:bCs/>
          <w:lang w:val="fr-FR" w:eastAsia="fr-FR"/>
        </w:rPr>
        <w:t xml:space="preserve"> demande de restructuration doit être introduite selon les modalités suivantes </w:t>
      </w:r>
      <w:r>
        <w:rPr>
          <w:rFonts w:eastAsia="Times New Roman"/>
          <w:bCs/>
          <w:vertAlign w:val="superscript"/>
          <w:lang w:val="fr-FR" w:eastAsia="fr-FR"/>
        </w:rPr>
        <w:footnoteReference w:id="1"/>
      </w:r>
      <w:r>
        <w:rPr>
          <w:rFonts w:eastAsia="Times New Roman"/>
          <w:bCs/>
          <w:lang w:val="fr-FR" w:eastAsia="fr-FR"/>
        </w:rPr>
        <w:t>:</w:t>
      </w:r>
    </w:p>
    <w:p>
      <w:pPr>
        <w:spacing w:after="0" w:line="240" w:lineRule="auto"/>
        <w:rPr>
          <w:rFonts w:eastAsia="Times New Roman"/>
          <w:bCs/>
          <w:lang w:val="fr-FR" w:eastAsia="fr-FR"/>
        </w:rPr>
      </w:pPr>
    </w:p>
    <w:p>
      <w:pPr>
        <w:numPr>
          <w:ilvl w:val="0"/>
          <w:numId w:val="1"/>
        </w:numPr>
        <w:spacing w:after="0" w:line="240" w:lineRule="auto"/>
        <w:jc w:val="both"/>
        <w:rPr>
          <w:rFonts w:eastAsia="Times New Roman"/>
          <w:bCs/>
          <w:lang w:val="fr-FR" w:eastAsia="fr-FR"/>
        </w:rPr>
      </w:pPr>
      <w:r>
        <w:rPr>
          <w:rFonts w:eastAsia="Times New Roman"/>
          <w:bCs/>
          <w:lang w:val="fr-FR" w:eastAsia="fr-FR"/>
        </w:rPr>
        <w:t xml:space="preserve">identification des écoles concernées par la restructuration : coordonnées administratives complètes (adresse + </w:t>
      </w:r>
      <w:proofErr w:type="spellStart"/>
      <w:r>
        <w:rPr>
          <w:rFonts w:eastAsia="Times New Roman"/>
          <w:bCs/>
          <w:lang w:val="fr-FR" w:eastAsia="fr-FR"/>
        </w:rPr>
        <w:t>n°FASE</w:t>
      </w:r>
      <w:proofErr w:type="spellEnd"/>
      <w:r>
        <w:rPr>
          <w:rFonts w:eastAsia="Times New Roman"/>
          <w:bCs/>
          <w:lang w:val="fr-FR" w:eastAsia="fr-FR"/>
        </w:rPr>
        <w:t>) des écoles concernées et de leurs diverses implantations ; population au 15 janvier des 3 années scolaires précédentes par implantation, degré, forme et section ; population au 1er octobre de l’année scolaire en cours par implantation, degré, forme et section ;</w:t>
      </w:r>
    </w:p>
    <w:p>
      <w:pPr>
        <w:numPr>
          <w:ilvl w:val="0"/>
          <w:numId w:val="1"/>
        </w:numPr>
        <w:spacing w:after="0" w:line="240" w:lineRule="auto"/>
        <w:jc w:val="both"/>
        <w:rPr>
          <w:rFonts w:eastAsia="Times New Roman"/>
          <w:bCs/>
          <w:lang w:val="fr-FR" w:eastAsia="fr-FR"/>
        </w:rPr>
      </w:pPr>
      <w:r>
        <w:rPr>
          <w:rFonts w:eastAsia="Times New Roman"/>
          <w:bCs/>
          <w:lang w:val="fr-FR" w:eastAsia="fr-FR"/>
        </w:rPr>
        <w:t>proposition de structure des écoles après restructuration avec populations simulées sur base du comptage du 15 janvier de l’année scolaire précédente, par implantation, degré, forme et section ;</w:t>
      </w:r>
    </w:p>
    <w:p>
      <w:pPr>
        <w:numPr>
          <w:ilvl w:val="0"/>
          <w:numId w:val="1"/>
        </w:numPr>
        <w:spacing w:after="0" w:line="240" w:lineRule="auto"/>
        <w:jc w:val="both"/>
        <w:rPr>
          <w:rFonts w:eastAsia="Times New Roman"/>
          <w:bCs/>
          <w:lang w:val="fr-FR" w:eastAsia="fr-FR"/>
        </w:rPr>
      </w:pPr>
      <w:r>
        <w:rPr>
          <w:rFonts w:eastAsia="Times New Roman"/>
          <w:bCs/>
          <w:lang w:val="fr-FR" w:eastAsia="fr-FR"/>
        </w:rPr>
        <w:t>le cas échéant : indication de l’école qui disparaît (ou des écoles qui disparaissent) dans l’opération de restructuration ;</w:t>
      </w:r>
    </w:p>
    <w:p>
      <w:pPr>
        <w:numPr>
          <w:ilvl w:val="0"/>
          <w:numId w:val="1"/>
        </w:numPr>
        <w:spacing w:after="0" w:line="240" w:lineRule="auto"/>
        <w:jc w:val="both"/>
        <w:rPr>
          <w:rFonts w:eastAsia="Times New Roman"/>
          <w:bCs/>
          <w:lang w:val="fr-FR" w:eastAsia="fr-FR"/>
        </w:rPr>
      </w:pPr>
      <w:r>
        <w:rPr>
          <w:rFonts w:eastAsia="Times New Roman"/>
          <w:bCs/>
          <w:lang w:val="fr-FR" w:eastAsia="fr-FR"/>
        </w:rPr>
        <w:t>motivations (par exemple : pédagogiques, structurelles, organisationnelles, financières…) de la demande et objectifs poursuivis ;</w:t>
      </w:r>
    </w:p>
    <w:p>
      <w:pPr>
        <w:numPr>
          <w:ilvl w:val="0"/>
          <w:numId w:val="1"/>
        </w:numPr>
        <w:spacing w:after="0" w:line="240" w:lineRule="auto"/>
        <w:jc w:val="both"/>
        <w:rPr>
          <w:rFonts w:eastAsia="Times New Roman"/>
          <w:bCs/>
          <w:lang w:val="fr-FR" w:eastAsia="fr-FR"/>
        </w:rPr>
      </w:pPr>
      <w:r>
        <w:rPr>
          <w:rFonts w:eastAsia="Times New Roman"/>
          <w:bCs/>
          <w:lang w:val="fr-FR" w:eastAsia="fr-FR"/>
        </w:rPr>
        <w:t xml:space="preserve">critères et indicateurs sollicités dans la liste proposée par l’arrêté du Gouvernement de la Communauté française du 16 mai 2013 </w:t>
      </w:r>
      <w:r>
        <w:rPr>
          <w:rFonts w:eastAsia="Times New Roman"/>
          <w:bCs/>
          <w:i/>
          <w:lang w:val="fr-FR" w:eastAsia="fr-FR"/>
        </w:rPr>
        <w:t>fixant les listes des indicateurs permettant au Gouvernement d’autoriser plusieurs établissements à restructurer ou à octroyer des dérogations à l’implantation des degrés d’observation autonomes, aux délocalisations, aux normes de maintien de l’établissement, ainsi qu’aux normes de maintien par année, degré et option</w:t>
      </w:r>
      <w:r>
        <w:rPr>
          <w:rFonts w:eastAsia="Times New Roman"/>
          <w:bCs/>
          <w:lang w:val="fr-FR" w:eastAsia="fr-FR"/>
        </w:rPr>
        <w:t> ;</w:t>
      </w:r>
    </w:p>
    <w:p>
      <w:pPr>
        <w:numPr>
          <w:ilvl w:val="0"/>
          <w:numId w:val="1"/>
        </w:numPr>
        <w:spacing w:after="0" w:line="240" w:lineRule="auto"/>
        <w:jc w:val="both"/>
        <w:rPr>
          <w:rFonts w:eastAsia="Times New Roman"/>
          <w:bCs/>
          <w:lang w:val="fr-FR" w:eastAsia="fr-FR"/>
        </w:rPr>
      </w:pPr>
      <w:r>
        <w:rPr>
          <w:rFonts w:eastAsia="Times New Roman"/>
          <w:bCs/>
          <w:lang w:val="fr-FR" w:eastAsia="fr-FR"/>
        </w:rPr>
        <w:t>le cas échéant : critères et indicateurs sollicités dans la liste proposée par le même arrêté qui justifieraient que l’école n’organisant que le 1</w:t>
      </w:r>
      <w:r>
        <w:rPr>
          <w:rFonts w:eastAsia="Times New Roman"/>
          <w:bCs/>
          <w:vertAlign w:val="superscript"/>
          <w:lang w:val="fr-FR" w:eastAsia="fr-FR"/>
        </w:rPr>
        <w:t>er</w:t>
      </w:r>
      <w:r>
        <w:rPr>
          <w:rFonts w:eastAsia="Times New Roman"/>
          <w:bCs/>
          <w:lang w:val="fr-FR" w:eastAsia="fr-FR"/>
        </w:rPr>
        <w:t xml:space="preserve"> degré soit organisé sur une implantation  accueillant d’autres écoles d’enseignement secondaire ou sur plusieurs implantations.</w:t>
      </w:r>
    </w:p>
    <w:p>
      <w:pPr>
        <w:spacing w:after="0" w:line="240" w:lineRule="auto"/>
        <w:rPr>
          <w:rFonts w:eastAsia="Times New Roman"/>
          <w:i/>
          <w:lang w:val="fr-FR" w:eastAsia="fr-FR"/>
        </w:rPr>
      </w:pPr>
    </w:p>
    <w:p>
      <w:pPr>
        <w:spacing w:after="0" w:line="240" w:lineRule="auto"/>
        <w:rPr>
          <w:rFonts w:eastAsia="Times New Roman"/>
          <w:i/>
          <w:lang w:val="fr-FR" w:eastAsia="fr-FR"/>
        </w:rPr>
      </w:pPr>
    </w:p>
    <w:p>
      <w:pPr>
        <w:spacing w:after="0" w:line="240" w:lineRule="auto"/>
        <w:rPr>
          <w:rFonts w:eastAsia="Times New Roman"/>
          <w:i/>
          <w:lang w:val="fr-FR" w:eastAsia="fr-FR"/>
        </w:rPr>
      </w:pPr>
    </w:p>
    <w:tbl>
      <w:tblPr>
        <w:tblW w:w="0" w:type="auto"/>
        <w:tblLayout w:type="fixed"/>
        <w:tblCellMar>
          <w:left w:w="70" w:type="dxa"/>
          <w:right w:w="70" w:type="dxa"/>
        </w:tblCellMar>
        <w:tblLook w:val="0000" w:firstRow="0" w:lastRow="0" w:firstColumn="0" w:lastColumn="0" w:noHBand="0" w:noVBand="0"/>
      </w:tblPr>
      <w:tblGrid>
        <w:gridCol w:w="10345"/>
      </w:tblGrid>
      <w:tr>
        <w:tc>
          <w:tcPr>
            <w:tcW w:w="10345" w:type="dxa"/>
          </w:tcPr>
          <w:p>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tc>
      </w:tr>
    </w:tbl>
    <w:p>
      <w:pPr>
        <w:spacing w:after="0" w:line="240" w:lineRule="auto"/>
        <w:outlineLvl w:val="0"/>
        <w:rPr>
          <w:rFonts w:eastAsia="Times New Roman"/>
          <w:b/>
          <w:u w:val="single"/>
          <w:lang w:val="fr-FR" w:eastAsia="fr-FR"/>
        </w:rPr>
      </w:pPr>
    </w:p>
    <w:p>
      <w:pPr>
        <w:spacing w:after="0" w:line="240" w:lineRule="auto"/>
        <w:rPr>
          <w:rFonts w:eastAsia="Times New Roman"/>
          <w:b/>
          <w:u w:val="single"/>
          <w:lang w:val="fr-FR" w:eastAsia="fr-FR"/>
        </w:rPr>
      </w:pPr>
      <w:r>
        <w:rPr>
          <w:rFonts w:eastAsia="Times New Roman"/>
          <w:b/>
          <w:u w:val="single"/>
          <w:lang w:val="fr-FR" w:eastAsia="fr-FR"/>
        </w:rPr>
        <w:br w:type="page"/>
      </w:r>
    </w:p>
    <w:p>
      <w:pPr>
        <w:spacing w:after="0" w:line="240" w:lineRule="auto"/>
        <w:rPr>
          <w:rFonts w:eastAsia="Times New Roman"/>
          <w:b/>
          <w:u w:val="single"/>
          <w:lang w:val="fr-FR" w:eastAsia="fr-FR"/>
        </w:rPr>
      </w:pPr>
    </w:p>
    <w:tbl>
      <w:tblPr>
        <w:tblW w:w="9828" w:type="dxa"/>
        <w:jc w:val="center"/>
        <w:tblLook w:val="01E0" w:firstRow="1" w:lastRow="1" w:firstColumn="1" w:lastColumn="1" w:noHBand="0" w:noVBand="0"/>
      </w:tblPr>
      <w:tblGrid>
        <w:gridCol w:w="1548"/>
        <w:gridCol w:w="2880"/>
        <w:gridCol w:w="5400"/>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eastAsia="Arial" w:cs="Arial"/>
                <w:b/>
                <w:lang w:val="fr-FR" w:eastAsia="ar-SA"/>
              </w:rPr>
            </w:pPr>
            <w:r>
              <w:rPr>
                <w:rFonts w:eastAsia="Arial"/>
                <w:lang w:eastAsia="ar-SA"/>
              </w:rPr>
              <w:br w:type="page"/>
            </w:r>
            <w:r>
              <w:rPr>
                <w:rFonts w:eastAsia="Arial"/>
                <w:b/>
                <w:bCs/>
                <w:i/>
                <w:iCs/>
                <w:lang w:val="fr-FR" w:eastAsia="ar-SA"/>
              </w:rPr>
              <w:br w:type="page"/>
            </w:r>
            <w:r>
              <w:rPr>
                <w:rFonts w:eastAsia="Arial" w:cs="Arial"/>
                <w:b/>
                <w:lang w:val="fr-FR" w:eastAsia="ar-SA"/>
              </w:rPr>
              <w:t>Annexe 7</w:t>
            </w:r>
          </w:p>
        </w:tc>
        <w:tc>
          <w:tcPr>
            <w:tcW w:w="288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lang w:val="fr-FR" w:eastAsia="ar-SA"/>
              </w:rPr>
              <w:t>Dérogation pour l’année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 à introduire, le cas échéant,  en même temps que l’annexe 6</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pPr>
              <w:suppressAutoHyphens/>
              <w:spacing w:after="0" w:line="240" w:lineRule="auto"/>
              <w:jc w:val="center"/>
              <w:rPr>
                <w:rFonts w:eastAsia="Arial" w:cs="Arial"/>
                <w:b/>
                <w:i/>
                <w:lang w:val="fr-FR" w:eastAsia="ar-SA"/>
              </w:rPr>
            </w:pPr>
            <w:r>
              <w:rPr>
                <w:rFonts w:eastAsia="Arial" w:cs="Arial"/>
                <w:b/>
                <w:i/>
                <w:lang w:val="fr-FR" w:eastAsia="ar-SA"/>
              </w:rPr>
              <w:t>Demande de DEROGATION pour l’octroi d’incitants DOA</w:t>
            </w:r>
          </w:p>
          <w:p>
            <w:pPr>
              <w:suppressAutoHyphens/>
              <w:spacing w:after="0" w:line="240" w:lineRule="auto"/>
              <w:jc w:val="center"/>
              <w:rPr>
                <w:rFonts w:eastAsia="Arial" w:cs="Arial"/>
                <w:lang w:val="fr-FR" w:eastAsia="ar-SA"/>
              </w:rPr>
            </w:pPr>
          </w:p>
        </w:tc>
      </w:tr>
    </w:tbl>
    <w:p>
      <w:pPr>
        <w:suppressAutoHyphens/>
        <w:spacing w:after="0" w:line="240" w:lineRule="auto"/>
        <w:jc w:val="both"/>
        <w:rPr>
          <w:rFonts w:eastAsia="Arial" w:cs="Arial"/>
          <w:sz w:val="20"/>
          <w:szCs w:val="20"/>
          <w:lang w:val="fr-FR" w:eastAsia="ar-SA"/>
        </w:rPr>
      </w:pPr>
      <w:r>
        <w:rPr>
          <w:rFonts w:eastAsia="Arial" w:cs="Arial"/>
          <w:sz w:val="20"/>
          <w:szCs w:val="20"/>
          <w:lang w:val="fr-FR" w:eastAsia="ar-SA"/>
        </w:rPr>
        <w:t xml:space="preserve">Un exemplaire de cette annexe doit être adressé à : </w:t>
      </w:r>
    </w:p>
    <w:p>
      <w:pPr>
        <w:numPr>
          <w:ilvl w:val="0"/>
          <w:numId w:val="12"/>
        </w:numPr>
        <w:suppressAutoHyphens/>
        <w:spacing w:after="0" w:line="240" w:lineRule="auto"/>
        <w:jc w:val="both"/>
        <w:rPr>
          <w:rFonts w:eastAsia="Arial" w:cs="Arial"/>
          <w:sz w:val="20"/>
          <w:szCs w:val="20"/>
          <w:lang w:val="fr-FR" w:eastAsia="ar-SA"/>
        </w:rPr>
      </w:pPr>
      <w:r>
        <w:rPr>
          <w:rFonts w:eastAsia="Arial" w:cs="Arial"/>
          <w:sz w:val="20"/>
          <w:szCs w:val="20"/>
          <w:lang w:val="fr-FR" w:eastAsia="ar-SA"/>
        </w:rPr>
        <w:t xml:space="preserve">à la Direction générale de l’enseignement obligatoire : </w:t>
      </w:r>
    </w:p>
    <w:p>
      <w:pPr>
        <w:suppressAutoHyphens/>
        <w:spacing w:after="0" w:line="240" w:lineRule="auto"/>
        <w:ind w:left="720"/>
        <w:jc w:val="both"/>
        <w:rPr>
          <w:rFonts w:eastAsia="Arial" w:cs="Arial"/>
          <w:sz w:val="20"/>
          <w:szCs w:val="20"/>
          <w:lang w:val="fr-FR" w:eastAsia="ar-SA"/>
        </w:rPr>
      </w:pPr>
      <w:r>
        <w:rPr>
          <w:rFonts w:eastAsia="Arial" w:cs="Arial"/>
          <w:sz w:val="20"/>
          <w:szCs w:val="20"/>
          <w:lang w:val="fr-FR" w:eastAsia="ar-SA"/>
        </w:rPr>
        <w:t xml:space="preserve">Par courriel </w:t>
      </w:r>
      <w:hyperlink r:id="rId14" w:history="1">
        <w:r>
          <w:rPr>
            <w:rFonts w:eastAsia="Arial" w:cs="Arial"/>
            <w:color w:val="0000FF"/>
            <w:sz w:val="20"/>
            <w:szCs w:val="20"/>
            <w:u w:val="single"/>
            <w:lang w:val="fr-FR" w:eastAsia="ar-SA"/>
          </w:rPr>
          <w:t>structures.secondaire.ordi@cfwb.be</w:t>
        </w:r>
      </w:hyperlink>
      <w:r>
        <w:rPr>
          <w:rFonts w:eastAsia="Arial" w:cs="Arial"/>
          <w:sz w:val="20"/>
          <w:szCs w:val="20"/>
          <w:lang w:val="fr-FR" w:eastAsia="ar-SA"/>
        </w:rPr>
        <w:t xml:space="preserve">  </w:t>
      </w:r>
    </w:p>
    <w:p>
      <w:pPr>
        <w:numPr>
          <w:ilvl w:val="0"/>
          <w:numId w:val="12"/>
        </w:numPr>
        <w:suppressAutoHyphens/>
        <w:spacing w:after="0" w:line="240" w:lineRule="auto"/>
        <w:jc w:val="both"/>
        <w:rPr>
          <w:rFonts w:eastAsia="Arial" w:cs="Arial"/>
          <w:sz w:val="20"/>
          <w:szCs w:val="20"/>
          <w:lang w:val="fr-FR" w:eastAsia="ar-SA"/>
        </w:rPr>
      </w:pPr>
      <w:r>
        <w:rPr>
          <w:rFonts w:eastAsia="Arial"/>
          <w:b/>
          <w:sz w:val="20"/>
          <w:szCs w:val="20"/>
          <w:lang w:val="fr-FR" w:eastAsia="ar-SA"/>
        </w:rPr>
        <w:t>soit</w:t>
      </w:r>
      <w:r>
        <w:rPr>
          <w:rFonts w:eastAsia="Arial"/>
          <w:sz w:val="20"/>
          <w:szCs w:val="20"/>
          <w:lang w:val="fr-FR" w:eastAsia="ar-SA"/>
        </w:rPr>
        <w:t xml:space="preserve"> à l'organe de représentation et de coordination, </w:t>
      </w:r>
    </w:p>
    <w:p>
      <w:pPr>
        <w:suppressAutoHyphens/>
        <w:spacing w:after="0" w:line="240" w:lineRule="auto"/>
        <w:ind w:left="720"/>
        <w:jc w:val="both"/>
        <w:rPr>
          <w:rFonts w:eastAsia="Arial"/>
          <w:sz w:val="20"/>
          <w:szCs w:val="20"/>
          <w:lang w:val="fr-FR" w:eastAsia="ar-SA"/>
        </w:rPr>
      </w:pPr>
      <w:proofErr w:type="gramStart"/>
      <w:r>
        <w:rPr>
          <w:rFonts w:eastAsia="Arial"/>
          <w:b/>
          <w:sz w:val="20"/>
          <w:szCs w:val="20"/>
          <w:lang w:val="fr-FR" w:eastAsia="ar-SA"/>
        </w:rPr>
        <w:t>soit</w:t>
      </w:r>
      <w:proofErr w:type="gramEnd"/>
      <w:r>
        <w:rPr>
          <w:rFonts w:eastAsia="Arial"/>
          <w:sz w:val="20"/>
          <w:szCs w:val="20"/>
          <w:lang w:val="fr-FR" w:eastAsia="ar-SA"/>
        </w:rPr>
        <w:t xml:space="preserve"> au Service général  de l'Enseignement organisé par la Fédération Wallonie-Bruxelles</w:t>
      </w:r>
    </w:p>
    <w:p>
      <w:pPr>
        <w:numPr>
          <w:ilvl w:val="0"/>
          <w:numId w:val="12"/>
        </w:numPr>
        <w:suppressAutoHyphens/>
        <w:spacing w:after="0" w:line="240" w:lineRule="auto"/>
        <w:jc w:val="both"/>
        <w:rPr>
          <w:rFonts w:eastAsia="Arial" w:cs="Arial"/>
          <w:sz w:val="20"/>
          <w:szCs w:val="20"/>
          <w:lang w:val="fr-FR" w:eastAsia="ar-SA"/>
        </w:rPr>
      </w:pPr>
      <w:r>
        <w:rPr>
          <w:rFonts w:eastAsia="Arial"/>
          <w:sz w:val="20"/>
          <w:szCs w:val="20"/>
          <w:lang w:val="fr-FR" w:eastAsia="ar-SA"/>
        </w:rPr>
        <w:t>au Comité de concertation</w:t>
      </w:r>
    </w:p>
    <w:p>
      <w:pPr>
        <w:suppressAutoHyphens/>
        <w:spacing w:after="0" w:line="240" w:lineRule="auto"/>
        <w:rPr>
          <w:rFonts w:eastAsia="Arial" w:cs="Arial"/>
          <w:sz w:val="20"/>
          <w:szCs w:val="20"/>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320"/>
      </w:tblGrid>
      <w:tr>
        <w:trPr>
          <w:jc w:val="center"/>
        </w:trPr>
        <w:tc>
          <w:tcPr>
            <w:tcW w:w="7508" w:type="dxa"/>
            <w:vAlign w:val="center"/>
          </w:tcPr>
          <w:p>
            <w:pPr>
              <w:suppressAutoHyphens/>
              <w:spacing w:before="120" w:after="120" w:line="240" w:lineRule="auto"/>
              <w:rPr>
                <w:rFonts w:eastAsia="Arial" w:cs="Arial"/>
                <w:b/>
                <w:lang w:val="fr-FR" w:eastAsia="ar-SA"/>
              </w:rPr>
            </w:pPr>
            <w:r>
              <w:rPr>
                <w:rFonts w:eastAsia="Arial" w:cs="Arial"/>
                <w:b/>
                <w:lang w:val="fr-FR" w:eastAsia="ar-SA"/>
              </w:rPr>
              <w:t>Nom de l’école :</w:t>
            </w:r>
          </w:p>
          <w:p>
            <w:pPr>
              <w:suppressAutoHyphens/>
              <w:spacing w:before="120" w:after="120" w:line="240" w:lineRule="auto"/>
              <w:rPr>
                <w:rFonts w:eastAsia="Arial" w:cs="Arial"/>
                <w:b/>
                <w:lang w:val="fr-FR" w:eastAsia="ar-SA"/>
              </w:rPr>
            </w:pPr>
          </w:p>
        </w:tc>
        <w:tc>
          <w:tcPr>
            <w:tcW w:w="2320" w:type="dxa"/>
            <w:vAlign w:val="center"/>
          </w:tcPr>
          <w:p>
            <w:pPr>
              <w:suppressAutoHyphens/>
              <w:spacing w:before="120" w:after="120" w:line="240" w:lineRule="auto"/>
              <w:rPr>
                <w:rFonts w:eastAsia="Arial" w:cs="Arial"/>
                <w:b/>
                <w:lang w:val="fr-FR" w:eastAsia="ar-SA"/>
              </w:rPr>
            </w:pPr>
            <w:r>
              <w:rPr>
                <w:rFonts w:eastAsia="Arial" w:cs="Arial"/>
                <w:b/>
                <w:lang w:val="fr-FR" w:eastAsia="ar-SA"/>
              </w:rPr>
              <w:t>N° FASE :</w:t>
            </w:r>
          </w:p>
          <w:p>
            <w:pPr>
              <w:suppressAutoHyphens/>
              <w:spacing w:before="120" w:after="120" w:line="240" w:lineRule="auto"/>
              <w:rPr>
                <w:rFonts w:eastAsia="Arial" w:cs="Arial"/>
                <w:b/>
                <w:lang w:val="fr-FR" w:eastAsia="ar-SA"/>
              </w:rPr>
            </w:pPr>
          </w:p>
        </w:tc>
      </w:tr>
      <w:tr>
        <w:trPr>
          <w:trHeight w:val="567"/>
          <w:jc w:val="center"/>
        </w:trPr>
        <w:tc>
          <w:tcPr>
            <w:tcW w:w="9828" w:type="dxa"/>
            <w:gridSpan w:val="2"/>
          </w:tcPr>
          <w:p>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5quater, §1er, alinéa 4, du décret du 29 juillet 1992, tel que modifié (dérogation pour l’octroi d’incitants DOA).</w:t>
      </w:r>
    </w:p>
    <w:p>
      <w:pPr>
        <w:spacing w:after="0" w:line="240" w:lineRule="auto"/>
        <w:rPr>
          <w:rFonts w:eastAsia="Times New Roman"/>
          <w:i/>
          <w:lang w:val="fr-FR" w:eastAsia="fr-FR"/>
        </w:rPr>
      </w:pPr>
    </w:p>
    <w:p>
      <w:pPr>
        <w:spacing w:after="0" w:line="240" w:lineRule="auto"/>
        <w:rPr>
          <w:rFonts w:eastAsia="Times New Roman"/>
          <w:lang w:val="fr-FR" w:eastAsia="fr-FR"/>
        </w:rPr>
      </w:pPr>
      <w:r>
        <w:rPr>
          <w:rFonts w:eastAsia="Times New Roman"/>
          <w:i/>
          <w:lang w:val="fr-FR" w:eastAsia="fr-FR"/>
        </w:rPr>
        <w:t>Les raisons de cette demande sont explicitées ci-dessous:</w:t>
      </w:r>
    </w:p>
    <w:tbl>
      <w:tblPr>
        <w:tblW w:w="106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
        <w:gridCol w:w="1728"/>
        <w:gridCol w:w="480"/>
        <w:gridCol w:w="2220"/>
        <w:gridCol w:w="358"/>
        <w:gridCol w:w="1985"/>
        <w:gridCol w:w="2693"/>
        <w:gridCol w:w="364"/>
        <w:gridCol w:w="537"/>
      </w:tblGrid>
      <w:tr>
        <w:trPr>
          <w:gridAfter w:val="2"/>
          <w:wAfter w:w="901" w:type="dxa"/>
        </w:trPr>
        <w:tc>
          <w:tcPr>
            <w:tcW w:w="2526" w:type="dxa"/>
            <w:gridSpan w:val="3"/>
          </w:tcPr>
          <w:p>
            <w:pPr>
              <w:spacing w:after="0" w:line="240" w:lineRule="auto"/>
              <w:jc w:val="center"/>
              <w:rPr>
                <w:rFonts w:eastAsia="Times New Roman"/>
                <w:b/>
                <w:lang w:val="fr-FR" w:eastAsia="fr-FR"/>
              </w:rPr>
            </w:pPr>
            <w:r>
              <w:rPr>
                <w:rFonts w:eastAsia="Times New Roman"/>
                <w:b/>
                <w:lang w:val="fr-FR" w:eastAsia="fr-FR"/>
              </w:rPr>
              <w:t>Critères du décret</w:t>
            </w:r>
          </w:p>
        </w:tc>
        <w:tc>
          <w:tcPr>
            <w:tcW w:w="2578" w:type="dxa"/>
            <w:gridSpan w:val="2"/>
          </w:tcPr>
          <w:p>
            <w:pPr>
              <w:spacing w:after="0" w:line="240" w:lineRule="auto"/>
              <w:jc w:val="center"/>
              <w:rPr>
                <w:rFonts w:eastAsia="Times New Roman"/>
                <w:b/>
                <w:lang w:val="fr-FR" w:eastAsia="fr-FR"/>
              </w:rPr>
            </w:pPr>
            <w:r>
              <w:rPr>
                <w:rFonts w:eastAsia="Times New Roman"/>
                <w:b/>
                <w:lang w:val="fr-FR" w:eastAsia="fr-FR"/>
              </w:rPr>
              <w:t>Indicateurs</w:t>
            </w:r>
          </w:p>
        </w:tc>
        <w:tc>
          <w:tcPr>
            <w:tcW w:w="1985" w:type="dxa"/>
          </w:tcPr>
          <w:p>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693" w:type="dxa"/>
            <w:vAlign w:val="center"/>
          </w:tcPr>
          <w:p>
            <w:pPr>
              <w:spacing w:after="0" w:line="240" w:lineRule="auto"/>
              <w:jc w:val="center"/>
              <w:rPr>
                <w:rFonts w:eastAsia="Times New Roman"/>
                <w:b/>
                <w:lang w:val="fr-FR" w:eastAsia="fr-FR"/>
              </w:rPr>
            </w:pPr>
            <w:r>
              <w:rPr>
                <w:rFonts w:eastAsia="Times New Roman"/>
                <w:b/>
                <w:lang w:val="fr-FR" w:eastAsia="fr-FR"/>
              </w:rPr>
              <w:t>Motivations</w:t>
            </w:r>
          </w:p>
        </w:tc>
      </w:tr>
      <w:tr>
        <w:trPr>
          <w:gridAfter w:val="2"/>
          <w:wAfter w:w="901" w:type="dxa"/>
          <w:trHeight w:val="253"/>
        </w:trPr>
        <w:tc>
          <w:tcPr>
            <w:tcW w:w="2526" w:type="dxa"/>
            <w:gridSpan w:val="3"/>
            <w:tcBorders>
              <w:bottom w:val="single" w:sz="4" w:space="0" w:color="auto"/>
            </w:tcBorders>
            <w:vAlign w:val="center"/>
          </w:tcPr>
          <w:p>
            <w:pPr>
              <w:spacing w:after="0" w:line="240" w:lineRule="auto"/>
              <w:jc w:val="center"/>
              <w:rPr>
                <w:rFonts w:eastAsia="Times New Roman"/>
                <w:lang w:val="fr-FR" w:eastAsia="fr-FR"/>
              </w:rPr>
            </w:pPr>
            <w:r>
              <w:rPr>
                <w:rFonts w:eastAsia="Times New Roman"/>
                <w:lang w:val="fr-FR" w:eastAsia="fr-FR"/>
              </w:rPr>
              <w:t>A. L’éloignement</w:t>
            </w:r>
          </w:p>
        </w:tc>
        <w:tc>
          <w:tcPr>
            <w:tcW w:w="2578" w:type="dxa"/>
            <w:gridSpan w:val="2"/>
            <w:vMerge w:val="restart"/>
            <w:tcBorders>
              <w:bottom w:val="single" w:sz="4" w:space="0" w:color="auto"/>
            </w:tcBorders>
          </w:tcPr>
          <w:p>
            <w:pPr>
              <w:spacing w:after="0" w:line="240" w:lineRule="auto"/>
              <w:rPr>
                <w:rFonts w:eastAsia="Times New Roman"/>
                <w:lang w:val="fr-FR" w:eastAsia="fr-FR"/>
              </w:rPr>
            </w:pPr>
            <w:r>
              <w:rPr>
                <w:rFonts w:eastAsia="Times New Roman"/>
                <w:lang w:val="fr-FR" w:eastAsia="fr-FR"/>
              </w:rPr>
              <w:t>A1-B1. La distance entre les 2 implantations est telle qu’il n’est pas possible de regrouper le DOA sur l’une d’elles, notamment en raison de la durée de déplacement qui serait imposée aux élèves.</w:t>
            </w:r>
          </w:p>
        </w:tc>
        <w:tc>
          <w:tcPr>
            <w:tcW w:w="1985" w:type="dxa"/>
            <w:vMerge w:val="restart"/>
            <w:tcBorders>
              <w:bottom w:val="single" w:sz="4" w:space="0" w:color="auto"/>
            </w:tcBorders>
          </w:tcPr>
          <w:p>
            <w:pPr>
              <w:spacing w:after="0" w:line="240" w:lineRule="auto"/>
              <w:rPr>
                <w:rFonts w:eastAsia="Times New Roman"/>
                <w:lang w:val="fr-FR" w:eastAsia="fr-FR"/>
              </w:rPr>
            </w:pPr>
          </w:p>
        </w:tc>
        <w:tc>
          <w:tcPr>
            <w:tcW w:w="2693" w:type="dxa"/>
            <w:vMerge w:val="restart"/>
            <w:tcBorders>
              <w:bottom w:val="single" w:sz="4" w:space="0" w:color="auto"/>
            </w:tcBorders>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rPr>
          <w:gridAfter w:val="2"/>
          <w:wAfter w:w="901" w:type="dxa"/>
        </w:trPr>
        <w:tc>
          <w:tcPr>
            <w:tcW w:w="2526" w:type="dxa"/>
            <w:gridSpan w:val="3"/>
            <w:vAlign w:val="center"/>
          </w:tcPr>
          <w:p>
            <w:pPr>
              <w:spacing w:after="0" w:line="240" w:lineRule="auto"/>
              <w:jc w:val="center"/>
              <w:rPr>
                <w:rFonts w:eastAsia="Times New Roman"/>
                <w:lang w:val="fr-FR" w:eastAsia="fr-FR"/>
              </w:rPr>
            </w:pPr>
            <w:r>
              <w:rPr>
                <w:rFonts w:eastAsia="Times New Roman"/>
                <w:lang w:val="fr-FR" w:eastAsia="fr-FR"/>
              </w:rPr>
              <w:t>B. Les transports</w:t>
            </w:r>
          </w:p>
        </w:tc>
        <w:tc>
          <w:tcPr>
            <w:tcW w:w="2578" w:type="dxa"/>
            <w:gridSpan w:val="2"/>
            <w:vMerge/>
          </w:tcPr>
          <w:p>
            <w:pPr>
              <w:spacing w:after="0" w:line="240" w:lineRule="auto"/>
              <w:rPr>
                <w:rFonts w:eastAsia="Times New Roman"/>
                <w:lang w:val="fr-FR" w:eastAsia="fr-FR"/>
              </w:rPr>
            </w:pPr>
          </w:p>
        </w:tc>
        <w:tc>
          <w:tcPr>
            <w:tcW w:w="1985" w:type="dxa"/>
            <w:vMerge/>
          </w:tcPr>
          <w:p>
            <w:pPr>
              <w:spacing w:after="0" w:line="240" w:lineRule="auto"/>
              <w:rPr>
                <w:rFonts w:eastAsia="Times New Roman"/>
                <w:lang w:val="fr-FR" w:eastAsia="fr-FR"/>
              </w:rPr>
            </w:pPr>
          </w:p>
        </w:tc>
        <w:tc>
          <w:tcPr>
            <w:tcW w:w="2693" w:type="dxa"/>
            <w:vMerge/>
            <w:vAlign w:val="center"/>
          </w:tcPr>
          <w:p>
            <w:pPr>
              <w:spacing w:after="0" w:line="240" w:lineRule="auto"/>
              <w:rPr>
                <w:rFonts w:eastAsia="Times New Roman"/>
                <w:lang w:val="fr-FR" w:eastAsia="fr-FR"/>
              </w:rPr>
            </w:pPr>
          </w:p>
        </w:tc>
      </w:tr>
      <w:tr>
        <w:trPr>
          <w:gridAfter w:val="2"/>
          <w:wAfter w:w="901" w:type="dxa"/>
        </w:trPr>
        <w:tc>
          <w:tcPr>
            <w:tcW w:w="2526" w:type="dxa"/>
            <w:gridSpan w:val="3"/>
            <w:vMerge w:val="restart"/>
            <w:vAlign w:val="center"/>
          </w:tcPr>
          <w:p>
            <w:pPr>
              <w:spacing w:after="0" w:line="240" w:lineRule="auto"/>
              <w:jc w:val="center"/>
              <w:rPr>
                <w:rFonts w:eastAsia="Times New Roman"/>
                <w:lang w:val="fr-FR" w:eastAsia="fr-FR"/>
              </w:rPr>
            </w:pPr>
            <w:r>
              <w:rPr>
                <w:rFonts w:eastAsia="Times New Roman"/>
                <w:lang w:val="fr-FR" w:eastAsia="fr-FR"/>
              </w:rPr>
              <w:t>C. La configuration des bâtiments</w:t>
            </w:r>
          </w:p>
        </w:tc>
        <w:tc>
          <w:tcPr>
            <w:tcW w:w="2578" w:type="dxa"/>
            <w:gridSpan w:val="2"/>
          </w:tcPr>
          <w:p>
            <w:pPr>
              <w:spacing w:after="0" w:line="240" w:lineRule="auto"/>
              <w:rPr>
                <w:rFonts w:eastAsia="Times New Roman"/>
                <w:lang w:val="fr-FR" w:eastAsia="fr-FR"/>
              </w:rPr>
            </w:pPr>
            <w:r>
              <w:rPr>
                <w:rFonts w:eastAsia="Times New Roman"/>
                <w:lang w:val="fr-FR" w:eastAsia="fr-FR"/>
              </w:rPr>
              <w:t>C1. Aucune des implantations concernées ne permet d’accueillir dans des conditions normales l’ensemble des élèves du DOA.</w:t>
            </w:r>
          </w:p>
        </w:tc>
        <w:tc>
          <w:tcPr>
            <w:tcW w:w="1985" w:type="dxa"/>
          </w:tcPr>
          <w:p>
            <w:pPr>
              <w:spacing w:after="0" w:line="240" w:lineRule="auto"/>
              <w:rPr>
                <w:rFonts w:eastAsia="Times New Roman"/>
                <w:lang w:val="fr-FR" w:eastAsia="fr-FR"/>
              </w:rPr>
            </w:pPr>
          </w:p>
        </w:tc>
        <w:tc>
          <w:tcPr>
            <w:tcW w:w="2693" w:type="dxa"/>
            <w:vAlign w:val="center"/>
          </w:tcPr>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p>
            <w:pPr>
              <w:spacing w:after="0" w:line="240" w:lineRule="auto"/>
              <w:rPr>
                <w:rFonts w:eastAsia="Times New Roman"/>
                <w:lang w:val="fr-FR" w:eastAsia="fr-FR"/>
              </w:rPr>
            </w:pPr>
          </w:p>
        </w:tc>
      </w:tr>
      <w:tr>
        <w:trPr>
          <w:gridAfter w:val="2"/>
          <w:wAfter w:w="901" w:type="dxa"/>
        </w:trPr>
        <w:tc>
          <w:tcPr>
            <w:tcW w:w="2526" w:type="dxa"/>
            <w:gridSpan w:val="3"/>
            <w:vMerge/>
          </w:tcPr>
          <w:p>
            <w:pPr>
              <w:spacing w:after="0" w:line="240" w:lineRule="auto"/>
              <w:rPr>
                <w:rFonts w:eastAsia="Times New Roman"/>
                <w:lang w:val="fr-FR" w:eastAsia="fr-FR"/>
              </w:rPr>
            </w:pPr>
          </w:p>
        </w:tc>
        <w:tc>
          <w:tcPr>
            <w:tcW w:w="2578" w:type="dxa"/>
            <w:gridSpan w:val="2"/>
          </w:tcPr>
          <w:p>
            <w:pPr>
              <w:spacing w:after="0" w:line="240" w:lineRule="auto"/>
              <w:rPr>
                <w:rFonts w:eastAsia="Times New Roman"/>
                <w:lang w:val="fr-FR" w:eastAsia="fr-FR"/>
              </w:rPr>
            </w:pPr>
            <w:r>
              <w:rPr>
                <w:rFonts w:eastAsia="Times New Roman"/>
                <w:lang w:val="fr-FR" w:eastAsia="fr-FR"/>
              </w:rPr>
              <w:t>C2. La configuration des bâtiments permet d’isoler les élèves du DOA dans un ou plusieurs bâtiments même si un établissement organise un 2</w:t>
            </w:r>
            <w:r>
              <w:rPr>
                <w:rFonts w:eastAsia="Times New Roman"/>
                <w:vertAlign w:val="superscript"/>
                <w:lang w:val="fr-FR" w:eastAsia="fr-FR"/>
              </w:rPr>
              <w:t>ème</w:t>
            </w:r>
            <w:r>
              <w:rPr>
                <w:rFonts w:eastAsia="Times New Roman"/>
                <w:lang w:val="fr-FR" w:eastAsia="fr-FR"/>
              </w:rPr>
              <w:t xml:space="preserve"> et/ou 3</w:t>
            </w:r>
            <w:r>
              <w:rPr>
                <w:rFonts w:eastAsia="Times New Roman"/>
                <w:vertAlign w:val="superscript"/>
                <w:lang w:val="fr-FR" w:eastAsia="fr-FR"/>
              </w:rPr>
              <w:t>ème</w:t>
            </w:r>
            <w:r>
              <w:rPr>
                <w:rFonts w:eastAsia="Times New Roman"/>
                <w:lang w:val="fr-FR" w:eastAsia="fr-FR"/>
              </w:rPr>
              <w:t xml:space="preserve"> degré dans un bâtiment voisin.</w:t>
            </w:r>
          </w:p>
        </w:tc>
        <w:tc>
          <w:tcPr>
            <w:tcW w:w="1985" w:type="dxa"/>
          </w:tcPr>
          <w:p>
            <w:pPr>
              <w:spacing w:after="0" w:line="240" w:lineRule="auto"/>
              <w:rPr>
                <w:rFonts w:eastAsia="Times New Roman"/>
                <w:lang w:val="fr-FR" w:eastAsia="fr-FR"/>
              </w:rPr>
            </w:pPr>
          </w:p>
        </w:tc>
        <w:tc>
          <w:tcPr>
            <w:tcW w:w="2693" w:type="dxa"/>
            <w:vAlign w:val="center"/>
          </w:tcPr>
          <w:p>
            <w:pPr>
              <w:spacing w:after="0" w:line="240" w:lineRule="auto"/>
              <w:rPr>
                <w:rFonts w:eastAsia="Times New Roman"/>
                <w:lang w:val="fr-FR" w:eastAsia="fr-FR"/>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10683" w:type="dxa"/>
            <w:gridSpan w:val="9"/>
          </w:tcPr>
          <w:p>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p>
            <w:pPr>
              <w:tabs>
                <w:tab w:val="left" w:pos="2835"/>
                <w:tab w:val="left" w:pos="3402"/>
              </w:tabs>
              <w:spacing w:after="0" w:line="240" w:lineRule="auto"/>
              <w:rPr>
                <w:rFonts w:eastAsia="Times New Roman"/>
                <w:i/>
                <w:lang w:val="fr-FR" w:eastAsia="fr-FR"/>
              </w:rPr>
            </w:pPr>
          </w:p>
          <w:p>
            <w:pPr>
              <w:tabs>
                <w:tab w:val="left" w:pos="2835"/>
                <w:tab w:val="left" w:pos="3402"/>
              </w:tabs>
              <w:spacing w:after="0" w:line="240" w:lineRule="auto"/>
              <w:rPr>
                <w:rFonts w:eastAsia="Times New Roman"/>
                <w:i/>
                <w:lang w:val="fr-FR" w:eastAsia="fr-FR"/>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318" w:type="dxa"/>
          <w:wAfter w:w="537" w:type="dxa"/>
        </w:trPr>
        <w:tc>
          <w:tcPr>
            <w:tcW w:w="1728" w:type="dxa"/>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rPr>
                <w:rFonts w:asciiTheme="minorHAnsi" w:eastAsia="Arial" w:hAnsiTheme="minorHAnsi" w:cstheme="minorHAnsi"/>
                <w:b/>
                <w:lang w:val="fr-FR" w:eastAsia="ar-SA"/>
              </w:rPr>
            </w:pPr>
            <w:r>
              <w:rPr>
                <w:rFonts w:asciiTheme="minorHAnsi" w:eastAsia="Arial" w:hAnsiTheme="minorHAnsi" w:cstheme="minorHAnsi"/>
                <w:lang w:eastAsia="ar-SA"/>
              </w:rPr>
              <w:lastRenderedPageBreak/>
              <w:br w:type="page"/>
            </w:r>
            <w:r>
              <w:rPr>
                <w:rFonts w:asciiTheme="minorHAnsi" w:eastAsia="Arial" w:hAnsiTheme="minorHAnsi" w:cstheme="minorHAnsi"/>
                <w:b/>
                <w:bCs/>
                <w:i/>
                <w:iCs/>
                <w:sz w:val="20"/>
                <w:szCs w:val="20"/>
                <w:lang w:val="fr-FR" w:eastAsia="ar-SA"/>
              </w:rPr>
              <w:br w:type="page"/>
            </w:r>
            <w:r>
              <w:rPr>
                <w:rFonts w:asciiTheme="minorHAnsi" w:eastAsia="Arial" w:hAnsiTheme="minorHAnsi" w:cstheme="minorHAnsi"/>
                <w:b/>
                <w:lang w:val="fr-FR" w:eastAsia="ar-SA"/>
              </w:rPr>
              <w:t>Annexe 8</w:t>
            </w:r>
          </w:p>
        </w:tc>
        <w:tc>
          <w:tcPr>
            <w:tcW w:w="2700" w:type="dxa"/>
            <w:gridSpan w:val="2"/>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Année scolaire</w:t>
            </w:r>
          </w:p>
          <w:p>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2024-2025</w:t>
            </w:r>
          </w:p>
        </w:tc>
        <w:tc>
          <w:tcPr>
            <w:tcW w:w="5400" w:type="dxa"/>
            <w:gridSpan w:val="4"/>
            <w:tcBorders>
              <w:top w:val="single" w:sz="4" w:space="0" w:color="auto"/>
              <w:left w:val="single" w:sz="4" w:space="0" w:color="auto"/>
              <w:bottom w:val="single" w:sz="4" w:space="0" w:color="auto"/>
              <w:right w:val="single" w:sz="4" w:space="0" w:color="auto"/>
            </w:tcBorders>
            <w:vAlign w:val="center"/>
          </w:tcPr>
          <w:p>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u w:val="single"/>
                <w:lang w:val="fr-FR" w:eastAsia="ar-SA"/>
              </w:rPr>
              <w:t>Date limite d’envoi</w:t>
            </w:r>
            <w:r>
              <w:rPr>
                <w:rFonts w:asciiTheme="minorHAnsi" w:eastAsia="Arial" w:hAnsiTheme="minorHAnsi" w:cstheme="minorHAnsi"/>
                <w:b/>
                <w:lang w:val="fr-FR" w:eastAsia="ar-SA"/>
              </w:rPr>
              <w:t xml:space="preserve"> : </w:t>
            </w:r>
          </w:p>
          <w:p>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Avant le 22</w:t>
            </w:r>
            <w:bookmarkStart w:id="0" w:name="_GoBack"/>
            <w:bookmarkEnd w:id="0"/>
            <w:r>
              <w:rPr>
                <w:rFonts w:asciiTheme="minorHAnsi" w:eastAsia="Arial" w:hAnsiTheme="minorHAnsi" w:cstheme="minorHAnsi"/>
                <w:b/>
                <w:lang w:val="fr-FR" w:eastAsia="ar-SA"/>
              </w:rPr>
              <w:t xml:space="preserve"> mars 2024</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318" w:type="dxa"/>
          <w:wAfter w:w="537" w:type="dxa"/>
        </w:trPr>
        <w:tc>
          <w:tcPr>
            <w:tcW w:w="9828" w:type="dxa"/>
            <w:gridSpan w:val="7"/>
            <w:tcBorders>
              <w:top w:val="single" w:sz="4" w:space="0" w:color="auto"/>
              <w:left w:val="single" w:sz="4" w:space="0" w:color="auto"/>
              <w:bottom w:val="single" w:sz="4" w:space="0" w:color="auto"/>
              <w:right w:val="single" w:sz="4" w:space="0" w:color="auto"/>
            </w:tcBorders>
            <w:vAlign w:val="center"/>
          </w:tcPr>
          <w:p>
            <w:pPr>
              <w:suppressAutoHyphens/>
              <w:spacing w:before="120" w:after="120" w:line="240" w:lineRule="auto"/>
              <w:jc w:val="center"/>
              <w:rPr>
                <w:rFonts w:asciiTheme="minorHAnsi" w:eastAsia="Arial" w:hAnsiTheme="minorHAnsi" w:cstheme="minorHAnsi"/>
                <w:b/>
                <w:i/>
                <w:sz w:val="24"/>
                <w:szCs w:val="24"/>
                <w:lang w:val="fr-FR" w:eastAsia="ar-SA"/>
              </w:rPr>
            </w:pPr>
            <w:r>
              <w:rPr>
                <w:rFonts w:asciiTheme="minorHAnsi" w:eastAsia="Arial" w:hAnsiTheme="minorHAnsi" w:cstheme="minorHAnsi"/>
                <w:b/>
                <w:sz w:val="24"/>
                <w:szCs w:val="24"/>
                <w:lang w:val="fr-FR" w:eastAsia="ar-SA"/>
              </w:rPr>
              <w:t xml:space="preserve">Enseignement secondaire ordinaire – </w:t>
            </w:r>
            <w:r>
              <w:rPr>
                <w:rFonts w:asciiTheme="minorHAnsi" w:eastAsia="Arial" w:hAnsiTheme="minorHAnsi" w:cstheme="minorHAnsi"/>
                <w:b/>
                <w:i/>
                <w:sz w:val="24"/>
                <w:szCs w:val="24"/>
                <w:lang w:val="fr-FR" w:eastAsia="ar-SA"/>
              </w:rPr>
              <w:t>demande de dérogation au calendrier scolaire</w:t>
            </w:r>
          </w:p>
          <w:p>
            <w:pPr>
              <w:suppressAutoHyphens/>
              <w:spacing w:before="120" w:after="120" w:line="240" w:lineRule="auto"/>
              <w:jc w:val="center"/>
              <w:rPr>
                <w:rFonts w:asciiTheme="minorHAnsi" w:eastAsia="Arial" w:hAnsiTheme="minorHAnsi" w:cstheme="minorHAnsi"/>
                <w:sz w:val="20"/>
                <w:szCs w:val="20"/>
                <w:lang w:val="fr-FR" w:eastAsia="ar-SA"/>
              </w:rPr>
            </w:pPr>
            <w:r>
              <w:rPr>
                <w:rFonts w:asciiTheme="minorHAnsi" w:eastAsia="Arial" w:hAnsiTheme="minorHAnsi" w:cstheme="minorHAnsi"/>
                <w:sz w:val="20"/>
                <w:szCs w:val="20"/>
                <w:lang w:val="fr-FR" w:eastAsia="ar-SA"/>
              </w:rPr>
              <w:t>Code  de  l'enseignement - l’article 1.9.1-2</w:t>
            </w:r>
          </w:p>
        </w:tc>
      </w:tr>
    </w:tbl>
    <w:p>
      <w:pPr>
        <w:suppressAutoHyphens/>
        <w:spacing w:after="0" w:line="240" w:lineRule="auto"/>
        <w:ind w:left="180"/>
        <w:jc w:val="both"/>
        <w:rPr>
          <w:rFonts w:asciiTheme="minorHAnsi" w:eastAsia="Arial" w:hAnsiTheme="minorHAnsi" w:cstheme="minorHAnsi"/>
          <w:sz w:val="8"/>
          <w:szCs w:val="8"/>
          <w:lang w:val="fr-FR" w:eastAsia="ar-SA"/>
        </w:rPr>
      </w:pPr>
    </w:p>
    <w:p>
      <w:pPr>
        <w:suppressAutoHyphens/>
        <w:spacing w:after="60" w:line="240" w:lineRule="auto"/>
        <w:jc w:val="both"/>
        <w:rPr>
          <w:rFonts w:asciiTheme="minorHAnsi" w:eastAsia="Times New Roman" w:hAnsiTheme="minorHAnsi" w:cstheme="minorHAnsi"/>
          <w:b/>
          <w:lang w:val="fr-FR" w:eastAsia="ar-SA"/>
        </w:rPr>
      </w:pPr>
      <w:r>
        <w:rPr>
          <w:rFonts w:asciiTheme="minorHAnsi" w:eastAsia="Times New Roman" w:hAnsiTheme="minorHAnsi" w:cstheme="minorHAnsi"/>
          <w:lang w:val="fr-FR" w:eastAsia="ar-SA"/>
        </w:rPr>
        <w:t xml:space="preserve">Cette annexe doit être scannée et transmise à la Direction générale de l’enseignement obligatoire par courriel à l’adresse suivante :       </w:t>
      </w:r>
      <w:hyperlink r:id="rId15" w:history="1">
        <w:r>
          <w:rPr>
            <w:rFonts w:asciiTheme="minorHAnsi" w:eastAsia="Times New Roman" w:hAnsiTheme="minorHAnsi" w:cstheme="minorHAnsi"/>
            <w:b/>
            <w:color w:val="0000FF"/>
            <w:u w:val="single"/>
            <w:lang w:val="fr-FR" w:eastAsia="ar-SA"/>
          </w:rPr>
          <w:t>encadrement.secondaire.ordinaire@cfwb.be</w:t>
        </w:r>
      </w:hyperlink>
    </w:p>
    <w:p>
      <w:pPr>
        <w:suppressAutoHyphens/>
        <w:spacing w:after="0" w:line="240" w:lineRule="auto"/>
        <w:rPr>
          <w:rFonts w:asciiTheme="minorHAnsi" w:eastAsia="Arial" w:hAnsiTheme="minorHAnsi" w:cstheme="minorHAnsi"/>
          <w:sz w:val="8"/>
          <w:szCs w:val="8"/>
          <w:lang w:val="fr-FR" w:eastAsia="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tc>
          <w:tcPr>
            <w:tcW w:w="6204" w:type="dxa"/>
            <w:vAlign w:val="center"/>
          </w:tcPr>
          <w:p>
            <w:pPr>
              <w:suppressAutoHyphens/>
              <w:spacing w:before="120" w:after="120" w:line="240" w:lineRule="auto"/>
              <w:rPr>
                <w:rFonts w:asciiTheme="minorHAnsi" w:eastAsia="Arial" w:hAnsiTheme="minorHAnsi" w:cstheme="minorHAnsi"/>
                <w:b/>
                <w:lang w:val="fr-FR" w:eastAsia="ar-SA"/>
              </w:rPr>
            </w:pPr>
            <w:r>
              <w:rPr>
                <w:rFonts w:asciiTheme="minorHAnsi" w:eastAsia="Arial" w:hAnsiTheme="minorHAnsi" w:cstheme="minorHAnsi"/>
                <w:b/>
                <w:lang w:val="fr-FR" w:eastAsia="ar-SA"/>
              </w:rPr>
              <w:t>Dénomination de l’école :</w:t>
            </w:r>
          </w:p>
          <w:p>
            <w:pPr>
              <w:suppressAutoHyphens/>
              <w:spacing w:before="120"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w:t>
            </w:r>
          </w:p>
        </w:tc>
        <w:tc>
          <w:tcPr>
            <w:tcW w:w="3624" w:type="dxa"/>
            <w:vAlign w:val="center"/>
          </w:tcPr>
          <w:p>
            <w:pPr>
              <w:suppressAutoHyphens/>
              <w:spacing w:before="120" w:after="120" w:line="240" w:lineRule="auto"/>
              <w:rPr>
                <w:rFonts w:asciiTheme="minorHAnsi" w:eastAsia="Arial" w:hAnsiTheme="minorHAnsi" w:cstheme="minorHAnsi"/>
                <w:b/>
                <w:lang w:val="fr-FR" w:eastAsia="ar-SA"/>
              </w:rPr>
            </w:pPr>
            <w:r>
              <w:rPr>
                <w:rFonts w:asciiTheme="minorHAnsi" w:eastAsia="Arial" w:hAnsiTheme="minorHAnsi" w:cstheme="minorHAnsi"/>
                <w:b/>
                <w:lang w:val="fr-FR" w:eastAsia="ar-SA"/>
              </w:rPr>
              <w:t>N° FASE :</w:t>
            </w:r>
          </w:p>
          <w:p>
            <w:pPr>
              <w:suppressAutoHyphens/>
              <w:spacing w:before="120"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w:t>
            </w:r>
          </w:p>
        </w:tc>
      </w:tr>
      <w:tr>
        <w:trPr>
          <w:trHeight w:val="567"/>
        </w:trPr>
        <w:tc>
          <w:tcPr>
            <w:tcW w:w="9828" w:type="dxa"/>
            <w:gridSpan w:val="2"/>
          </w:tcPr>
          <w:p>
            <w:pPr>
              <w:suppressAutoHyphens/>
              <w:spacing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Siège administratif (rue, n°, code postal et localité) :</w:t>
            </w:r>
          </w:p>
          <w:p>
            <w:pPr>
              <w:suppressAutoHyphens/>
              <w:spacing w:after="120" w:line="240" w:lineRule="auto"/>
              <w:rPr>
                <w:rFonts w:asciiTheme="minorHAnsi" w:eastAsia="Arial" w:hAnsiTheme="minorHAnsi" w:cstheme="minorHAnsi"/>
                <w:b/>
                <w:lang w:val="fr-FR" w:eastAsia="ar-SA"/>
              </w:rPr>
            </w:pPr>
            <w:r>
              <w:rPr>
                <w:rFonts w:asciiTheme="minorHAnsi" w:eastAsia="Arial" w:hAnsiTheme="minorHAnsi" w:cstheme="minorHAnsi"/>
                <w:lang w:val="fr-FR" w:eastAsia="ar-SA"/>
              </w:rPr>
              <w:t>………………………………………………………………………………………………….</w:t>
            </w:r>
          </w:p>
        </w:tc>
      </w:tr>
    </w:tbl>
    <w:p>
      <w:pPr>
        <w:suppressAutoHyphens/>
        <w:spacing w:after="60" w:line="240" w:lineRule="auto"/>
        <w:jc w:val="both"/>
        <w:rPr>
          <w:rFonts w:asciiTheme="minorHAnsi" w:eastAsia="Times New Roman" w:hAnsiTheme="minorHAnsi" w:cstheme="minorHAnsi"/>
          <w:lang w:val="fr-FR" w:eastAsia="ar-SA"/>
        </w:rPr>
      </w:pPr>
    </w:p>
    <w:p>
      <w:pPr>
        <w:suppressAutoHyphens/>
        <w:spacing w:after="60" w:line="240" w:lineRule="auto"/>
        <w:jc w:val="both"/>
        <w:rPr>
          <w:rFonts w:asciiTheme="minorHAnsi" w:eastAsia="Times New Roman" w:hAnsiTheme="minorHAnsi" w:cstheme="minorHAnsi"/>
          <w:b/>
          <w:lang w:val="fr-FR" w:eastAsia="ar-SA"/>
        </w:rPr>
      </w:pPr>
      <w:r>
        <w:rPr>
          <w:rFonts w:asciiTheme="minorHAnsi" w:eastAsia="Times New Roman" w:hAnsiTheme="minorHAnsi" w:cstheme="minorHAnsi"/>
          <w:b/>
          <w:lang w:val="fr-FR" w:eastAsia="ar-SA"/>
        </w:rPr>
        <w:t>Sollicite une dérogation relative (cochez la case selon le cas) :</w:t>
      </w:r>
    </w:p>
    <w:p>
      <w:pPr>
        <w:suppressAutoHyphens/>
        <w:spacing w:after="60" w:line="240" w:lineRule="auto"/>
        <w:ind w:left="709" w:hanging="1"/>
        <w:jc w:val="both"/>
        <w:rPr>
          <w:rFonts w:asciiTheme="minorHAnsi" w:eastAsia="Times New Roman" w:hAnsiTheme="minorHAnsi" w:cstheme="minorHAnsi"/>
          <w:lang w:val="fr-FR" w:eastAsia="ar-SA"/>
        </w:rPr>
      </w:pPr>
      <w:proofErr w:type="gramStart"/>
      <w:r>
        <w:rPr>
          <w:rFonts w:asciiTheme="minorHAnsi" w:eastAsia="Times New Roman" w:hAnsiTheme="minorHAnsi" w:cstheme="minorHAnsi"/>
          <w:lang w:val="fr-FR" w:eastAsia="ar-SA"/>
        </w:rPr>
        <w:t>aux</w:t>
      </w:r>
      <w:proofErr w:type="gramEnd"/>
      <w:r>
        <w:rPr>
          <w:rFonts w:asciiTheme="minorHAnsi" w:eastAsia="Times New Roman" w:hAnsiTheme="minorHAnsi" w:cstheme="minorHAnsi"/>
          <w:lang w:val="fr-FR" w:eastAsia="ar-SA"/>
        </w:rPr>
        <w:t xml:space="preserve"> dates de début et de fin d’année scolaire</w:t>
      </w:r>
      <w:r>
        <w:rPr>
          <w:rFonts w:asciiTheme="minorHAnsi" w:eastAsia="Times New Roman" w:hAnsiTheme="minorHAnsi" w:cstheme="minorHAnsi"/>
          <w:noProof/>
          <w:lang w:eastAsia="fr-BE"/>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7562</wp:posOffset>
                </wp:positionV>
                <wp:extent cx="138546" cy="157018"/>
                <wp:effectExtent l="0" t="0" r="13970" b="14605"/>
                <wp:wrapNone/>
                <wp:docPr id="4" name="Rectangle 4"/>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0;margin-top:.6pt;width:10.9pt;height:12.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" fillcolor="#5b9bd5" strokecolor="#41719c" strokeweight="1pt">
                <w10:wrap anchorx="margin"/>
              </v:rect>
            </w:pict>
          </mc:Fallback>
        </mc:AlternateContent>
      </w:r>
      <w:r>
        <w:rPr>
          <w:rFonts w:asciiTheme="minorHAnsi" w:eastAsia="Times New Roman" w:hAnsiTheme="minorHAnsi" w:cstheme="minorHAnsi"/>
          <w:lang w:val="fr-FR" w:eastAsia="ar-SA"/>
        </w:rPr>
        <w:t xml:space="preserve"> (Code-art. (</w:t>
      </w:r>
      <w:proofErr w:type="gramStart"/>
      <w:r>
        <w:rPr>
          <w:rFonts w:asciiTheme="minorHAnsi" w:eastAsia="Times New Roman" w:hAnsiTheme="minorHAnsi" w:cstheme="minorHAnsi"/>
          <w:lang w:val="fr-FR" w:eastAsia="ar-SA"/>
        </w:rPr>
        <w:t>article</w:t>
      </w:r>
      <w:proofErr w:type="gramEnd"/>
      <w:r>
        <w:rPr>
          <w:rFonts w:asciiTheme="minorHAnsi" w:eastAsia="Times New Roman" w:hAnsiTheme="minorHAnsi" w:cstheme="minorHAnsi"/>
          <w:lang w:val="fr-FR" w:eastAsia="ar-SA"/>
        </w:rPr>
        <w:t xml:space="preserve"> 1.9.1-2, § 3, alinéa 1er - article 1.9.1-1, § 1er, alinéa 1er).</w:t>
      </w:r>
    </w:p>
    <w:p>
      <w:pPr>
        <w:suppressAutoHyphens/>
        <w:spacing w:after="60" w:line="240" w:lineRule="auto"/>
        <w:ind w:left="709" w:hanging="709"/>
        <w:jc w:val="both"/>
        <w:rPr>
          <w:rFonts w:asciiTheme="minorHAnsi" w:eastAsia="Times New Roman" w:hAnsiTheme="minorHAnsi" w:cstheme="minorHAnsi"/>
          <w:lang w:val="fr-FR" w:eastAsia="ar-SA"/>
        </w:rPr>
      </w:pPr>
      <w:r>
        <w:rPr>
          <w:rFonts w:asciiTheme="minorHAnsi" w:eastAsia="Times New Roman" w:hAnsiTheme="minorHAnsi" w:cstheme="minorHAnsi"/>
          <w:noProof/>
          <w:lang w:eastAsia="fr-BE"/>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0</wp:posOffset>
                </wp:positionV>
                <wp:extent cx="138546" cy="157018"/>
                <wp:effectExtent l="0" t="0" r="13970" b="14605"/>
                <wp:wrapNone/>
                <wp:docPr id="5" name="Rectangle 5"/>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0;margin-top:0;width:10.9pt;height:1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" fillcolor="#5b9bd5" strokecolor="#41719c" strokeweight="1pt">
                <w10:wrap anchorx="margin"/>
              </v:rect>
            </w:pict>
          </mc:Fallback>
        </mc:AlternateContent>
      </w:r>
      <w:r>
        <w:rPr>
          <w:rFonts w:asciiTheme="minorHAnsi" w:eastAsia="Times New Roman" w:hAnsiTheme="minorHAnsi" w:cstheme="minorHAnsi"/>
          <w:lang w:val="fr-FR" w:eastAsia="ar-SA"/>
        </w:rPr>
        <w:tab/>
      </w:r>
      <w:proofErr w:type="gramStart"/>
      <w:r>
        <w:rPr>
          <w:rFonts w:asciiTheme="minorHAnsi" w:eastAsia="Times New Roman" w:hAnsiTheme="minorHAnsi" w:cstheme="minorHAnsi"/>
          <w:lang w:val="fr-FR" w:eastAsia="ar-SA"/>
        </w:rPr>
        <w:t>aux</w:t>
      </w:r>
      <w:proofErr w:type="gramEnd"/>
      <w:r>
        <w:rPr>
          <w:rFonts w:asciiTheme="minorHAnsi" w:eastAsia="Times New Roman" w:hAnsiTheme="minorHAnsi" w:cstheme="minorHAnsi"/>
          <w:lang w:val="fr-FR" w:eastAsia="ar-SA"/>
        </w:rPr>
        <w:t xml:space="preserve"> périodes de vacances (Code-art. article 1.9.1-2, § 3, alinéa 1er - article 1.9.1-1, §§ 2 et 3 ainsi qu'au 1.9.1-2, § 2, alinéa 2).</w:t>
      </w:r>
    </w:p>
    <w:p>
      <w:pPr>
        <w:suppressAutoHyphens/>
        <w:spacing w:after="60" w:line="240" w:lineRule="auto"/>
        <w:ind w:left="709" w:hanging="709"/>
        <w:jc w:val="both"/>
        <w:rPr>
          <w:rFonts w:asciiTheme="minorHAnsi" w:eastAsia="Times New Roman" w:hAnsiTheme="minorHAnsi" w:cstheme="minorHAnsi"/>
          <w:color w:val="FF0000"/>
          <w:lang w:val="fr-FR" w:eastAsia="ar-SA"/>
        </w:rPr>
      </w:pPr>
      <w:r>
        <w:rPr>
          <w:rFonts w:asciiTheme="minorHAnsi" w:eastAsia="Times New Roman" w:hAnsiTheme="minorHAnsi" w:cstheme="minorHAnsi"/>
          <w:noProof/>
          <w:lang w:eastAsia="fr-BE"/>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paragraph">
                  <wp:posOffset>-635</wp:posOffset>
                </wp:positionV>
                <wp:extent cx="138546" cy="157018"/>
                <wp:effectExtent l="0" t="0" r="13970" b="14605"/>
                <wp:wrapNone/>
                <wp:docPr id="6" name="Rectangle 6"/>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0;margin-top:-.05pt;width:10.9pt;height:12.3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" fillcolor="#5b9bd5" strokecolor="#41719c" strokeweight="1pt">
                <w10:wrap anchorx="margin"/>
              </v:rect>
            </w:pict>
          </mc:Fallback>
        </mc:AlternateContent>
      </w:r>
      <w:r>
        <w:rPr>
          <w:rFonts w:asciiTheme="minorHAnsi" w:eastAsia="Times New Roman" w:hAnsiTheme="minorHAnsi" w:cstheme="minorHAnsi"/>
          <w:strike/>
          <w:lang w:val="fr-FR" w:eastAsia="ar-SA"/>
        </w:rPr>
        <w:tab/>
        <w:t>au congé de mardi gras déplacé à une autre date pour autant que ce jour couvre la tenue d’une festivité locale ayant un rayonnement sur l’ensemble d’une commune au moins (Code-art. article 1.9.1-2, § 3, alinéa 2 - et 1.9.1-1, § 3, alinéa 2, 5° ).</w:t>
      </w:r>
      <w:r>
        <w:rPr>
          <w:rFonts w:asciiTheme="minorHAnsi" w:eastAsia="Times New Roman" w:hAnsiTheme="minorHAnsi" w:cstheme="minorHAnsi"/>
          <w:color w:val="FF0000"/>
          <w:vertAlign w:val="superscript"/>
          <w:lang w:val="fr-FR" w:eastAsia="ar-SA"/>
        </w:rPr>
        <w:footnoteReference w:id="2"/>
      </w:r>
      <w:r>
        <w:rPr>
          <w:rFonts w:asciiTheme="minorHAnsi" w:eastAsia="Times New Roman" w:hAnsiTheme="minorHAnsi" w:cstheme="minorHAnsi"/>
          <w:lang w:val="fr-FR" w:eastAsia="ar-SA"/>
        </w:rPr>
        <w:t xml:space="preserve"> </w:t>
      </w:r>
      <w:r>
        <w:rPr>
          <w:rFonts w:asciiTheme="minorHAnsi" w:eastAsia="Times New Roman" w:hAnsiTheme="minorHAnsi" w:cstheme="minorHAnsi"/>
          <w:color w:val="FF0000"/>
          <w:lang w:val="fr-FR" w:eastAsia="ar-SA"/>
        </w:rPr>
        <w:t>Sans objet puisque le mardi gras est compris dans le congé de détente du lundi 24 février 2025 au dimanche 9 mars 2025.</w:t>
      </w:r>
    </w:p>
    <w:p>
      <w:pPr>
        <w:suppressAutoHyphens/>
        <w:spacing w:after="60" w:line="240" w:lineRule="auto"/>
        <w:jc w:val="both"/>
        <w:rPr>
          <w:rFonts w:asciiTheme="minorHAnsi" w:eastAsia="Times New Roman" w:hAnsiTheme="minorHAnsi" w:cstheme="minorHAnsi"/>
          <w:b/>
          <w:lang w:val="fr-FR" w:eastAsia="ar-SA"/>
        </w:rPr>
      </w:pPr>
      <w:r>
        <w:rPr>
          <w:rFonts w:asciiTheme="minorHAnsi" w:eastAsia="Times New Roman" w:hAnsiTheme="minorHAnsi" w:cstheme="minorHAnsi"/>
          <w:b/>
          <w:lang w:val="fr-FR" w:eastAsia="ar-SA"/>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tbl>
      <w:tblPr>
        <w:tblStyle w:val="Grilledutableau"/>
        <w:tblW w:w="0" w:type="auto"/>
        <w:tblLook w:val="04A0" w:firstRow="1" w:lastRow="0" w:firstColumn="1" w:lastColumn="0" w:noHBand="0" w:noVBand="1"/>
      </w:tblPr>
      <w:tblGrid>
        <w:gridCol w:w="9062"/>
      </w:tblGrid>
      <w:tr>
        <w:tc>
          <w:tcPr>
            <w:tcW w:w="9344" w:type="dxa"/>
          </w:tcPr>
          <w:p>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Motivation :</w:t>
            </w:r>
          </w:p>
          <w:p>
            <w:pPr>
              <w:suppressAutoHyphens/>
              <w:spacing w:after="60" w:line="240" w:lineRule="auto"/>
              <w:jc w:val="both"/>
              <w:rPr>
                <w:rFonts w:asciiTheme="minorHAnsi" w:eastAsia="Times New Roman" w:hAnsiTheme="minorHAnsi" w:cstheme="minorHAnsi"/>
                <w:lang w:val="fr-FR" w:eastAsia="ar-SA"/>
              </w:rPr>
            </w:pPr>
          </w:p>
          <w:p>
            <w:pPr>
              <w:suppressAutoHyphens/>
              <w:spacing w:after="60" w:line="240" w:lineRule="auto"/>
              <w:jc w:val="both"/>
              <w:rPr>
                <w:rFonts w:asciiTheme="minorHAnsi" w:eastAsia="Times New Roman" w:hAnsiTheme="minorHAnsi" w:cstheme="minorHAnsi"/>
                <w:lang w:val="fr-FR" w:eastAsia="ar-SA"/>
              </w:rPr>
            </w:pPr>
          </w:p>
          <w:p>
            <w:pPr>
              <w:suppressAutoHyphens/>
              <w:spacing w:after="60" w:line="240" w:lineRule="auto"/>
              <w:jc w:val="both"/>
              <w:rPr>
                <w:rFonts w:asciiTheme="minorHAnsi" w:eastAsia="Times New Roman" w:hAnsiTheme="minorHAnsi" w:cstheme="minorHAnsi"/>
                <w:lang w:val="fr-FR" w:eastAsia="ar-SA"/>
              </w:rPr>
            </w:pPr>
          </w:p>
        </w:tc>
      </w:tr>
    </w:tbl>
    <w:p>
      <w:pPr>
        <w:suppressAutoHyphens/>
        <w:spacing w:after="60" w:line="240" w:lineRule="auto"/>
        <w:jc w:val="both"/>
        <w:rPr>
          <w:rFonts w:asciiTheme="minorHAnsi" w:eastAsia="Times New Roman" w:hAnsiTheme="minorHAnsi" w:cstheme="minorHAnsi"/>
          <w:lang w:val="fr-FR" w:eastAsia="ar-SA"/>
        </w:rPr>
      </w:pPr>
    </w:p>
    <w:tbl>
      <w:tblPr>
        <w:tblStyle w:val="Grilledutableau"/>
        <w:tblW w:w="0" w:type="auto"/>
        <w:tblLook w:val="04A0" w:firstRow="1" w:lastRow="0" w:firstColumn="1" w:lastColumn="0" w:noHBand="0" w:noVBand="1"/>
      </w:tblPr>
      <w:tblGrid>
        <w:gridCol w:w="4522"/>
        <w:gridCol w:w="4540"/>
      </w:tblGrid>
      <w:tr>
        <w:tc>
          <w:tcPr>
            <w:tcW w:w="4672" w:type="dxa"/>
          </w:tcPr>
          <w:p>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Date(s) du calendrier officiel</w:t>
            </w:r>
          </w:p>
        </w:tc>
        <w:tc>
          <w:tcPr>
            <w:tcW w:w="4672" w:type="dxa"/>
          </w:tcPr>
          <w:p>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Date(s) de remplacement proposée(s)</w:t>
            </w:r>
          </w:p>
        </w:tc>
      </w:tr>
      <w:tr>
        <w:tc>
          <w:tcPr>
            <w:tcW w:w="4672" w:type="dxa"/>
          </w:tcPr>
          <w:p>
            <w:pPr>
              <w:suppressAutoHyphens/>
              <w:spacing w:after="60" w:line="240" w:lineRule="auto"/>
              <w:jc w:val="both"/>
              <w:rPr>
                <w:rFonts w:asciiTheme="minorHAnsi" w:eastAsia="Times New Roman" w:hAnsiTheme="minorHAnsi" w:cstheme="minorHAnsi"/>
                <w:lang w:val="fr-FR" w:eastAsia="ar-SA"/>
              </w:rPr>
            </w:pPr>
          </w:p>
        </w:tc>
        <w:tc>
          <w:tcPr>
            <w:tcW w:w="4672" w:type="dxa"/>
          </w:tcPr>
          <w:p>
            <w:pPr>
              <w:suppressAutoHyphens/>
              <w:spacing w:after="60" w:line="240" w:lineRule="auto"/>
              <w:jc w:val="both"/>
              <w:rPr>
                <w:rFonts w:asciiTheme="minorHAnsi" w:eastAsia="Times New Roman" w:hAnsiTheme="minorHAnsi" w:cstheme="minorHAnsi"/>
                <w:lang w:val="fr-FR" w:eastAsia="ar-SA"/>
              </w:rPr>
            </w:pPr>
          </w:p>
        </w:tc>
      </w:tr>
      <w:tr>
        <w:tc>
          <w:tcPr>
            <w:tcW w:w="4672" w:type="dxa"/>
          </w:tcPr>
          <w:p>
            <w:pPr>
              <w:suppressAutoHyphens/>
              <w:spacing w:after="60" w:line="240" w:lineRule="auto"/>
              <w:jc w:val="both"/>
              <w:rPr>
                <w:rFonts w:asciiTheme="minorHAnsi" w:eastAsia="Times New Roman" w:hAnsiTheme="minorHAnsi" w:cstheme="minorHAnsi"/>
                <w:lang w:val="fr-FR" w:eastAsia="ar-SA"/>
              </w:rPr>
            </w:pPr>
          </w:p>
        </w:tc>
        <w:tc>
          <w:tcPr>
            <w:tcW w:w="4672" w:type="dxa"/>
          </w:tcPr>
          <w:p>
            <w:pPr>
              <w:suppressAutoHyphens/>
              <w:spacing w:after="60" w:line="240" w:lineRule="auto"/>
              <w:jc w:val="both"/>
              <w:rPr>
                <w:rFonts w:asciiTheme="minorHAnsi" w:eastAsia="Times New Roman" w:hAnsiTheme="minorHAnsi" w:cstheme="minorHAnsi"/>
                <w:lang w:val="fr-FR" w:eastAsia="ar-SA"/>
              </w:rPr>
            </w:pPr>
          </w:p>
        </w:tc>
      </w:tr>
      <w:tr>
        <w:tc>
          <w:tcPr>
            <w:tcW w:w="4672" w:type="dxa"/>
          </w:tcPr>
          <w:p>
            <w:pPr>
              <w:suppressAutoHyphens/>
              <w:spacing w:after="60" w:line="240" w:lineRule="auto"/>
              <w:jc w:val="both"/>
              <w:rPr>
                <w:rFonts w:asciiTheme="minorHAnsi" w:eastAsia="Times New Roman" w:hAnsiTheme="minorHAnsi" w:cstheme="minorHAnsi"/>
                <w:lang w:val="fr-FR" w:eastAsia="ar-SA"/>
              </w:rPr>
            </w:pPr>
          </w:p>
        </w:tc>
        <w:tc>
          <w:tcPr>
            <w:tcW w:w="4672" w:type="dxa"/>
          </w:tcPr>
          <w:p>
            <w:pPr>
              <w:suppressAutoHyphens/>
              <w:spacing w:after="60" w:line="240" w:lineRule="auto"/>
              <w:jc w:val="both"/>
              <w:rPr>
                <w:rFonts w:asciiTheme="minorHAnsi" w:eastAsia="Times New Roman" w:hAnsiTheme="minorHAnsi" w:cstheme="minorHAnsi"/>
                <w:lang w:val="fr-FR" w:eastAsia="ar-SA"/>
              </w:rPr>
            </w:pPr>
          </w:p>
        </w:tc>
      </w:tr>
      <w:tr>
        <w:tc>
          <w:tcPr>
            <w:tcW w:w="4672" w:type="dxa"/>
          </w:tcPr>
          <w:p>
            <w:pPr>
              <w:suppressAutoHyphens/>
              <w:spacing w:after="60" w:line="240" w:lineRule="auto"/>
              <w:jc w:val="both"/>
              <w:rPr>
                <w:rFonts w:asciiTheme="minorHAnsi" w:eastAsia="Times New Roman" w:hAnsiTheme="minorHAnsi" w:cstheme="minorHAnsi"/>
                <w:lang w:val="fr-FR" w:eastAsia="ar-SA"/>
              </w:rPr>
            </w:pPr>
          </w:p>
        </w:tc>
        <w:tc>
          <w:tcPr>
            <w:tcW w:w="4672" w:type="dxa"/>
          </w:tcPr>
          <w:p>
            <w:pPr>
              <w:suppressAutoHyphens/>
              <w:spacing w:after="60" w:line="240" w:lineRule="auto"/>
              <w:jc w:val="both"/>
              <w:rPr>
                <w:rFonts w:asciiTheme="minorHAnsi" w:eastAsia="Times New Roman" w:hAnsiTheme="minorHAnsi" w:cstheme="minorHAnsi"/>
                <w:lang w:val="fr-FR" w:eastAsia="ar-SA"/>
              </w:rPr>
            </w:pPr>
          </w:p>
        </w:tc>
      </w:tr>
    </w:tbl>
    <w:p>
      <w:pPr>
        <w:suppressAutoHyphens/>
        <w:spacing w:after="60" w:line="240" w:lineRule="auto"/>
        <w:jc w:val="both"/>
        <w:rPr>
          <w:rFonts w:asciiTheme="minorHAnsi" w:eastAsia="Times New Roman" w:hAnsiTheme="minorHAnsi" w:cstheme="minorHAnsi"/>
          <w:lang w:val="fr-FR" w:eastAsia="ar-SA"/>
        </w:rPr>
      </w:pPr>
    </w:p>
    <w:p>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Nom, prénom, et signature du demandeur:</w:t>
      </w:r>
    </w:p>
    <w:p>
      <w:pPr>
        <w:suppressAutoHyphens/>
        <w:spacing w:after="60" w:line="240" w:lineRule="auto"/>
        <w:jc w:val="both"/>
        <w:rPr>
          <w:rFonts w:asciiTheme="minorHAnsi" w:eastAsia="Times New Roman" w:hAnsiTheme="minorHAnsi" w:cstheme="minorHAnsi"/>
          <w:lang w:val="fr-FR" w:eastAsia="ar-SA"/>
        </w:rPr>
      </w:pPr>
    </w:p>
    <w:p>
      <w:pPr>
        <w:suppressAutoHyphens/>
        <w:spacing w:after="60" w:line="240" w:lineRule="auto"/>
        <w:jc w:val="both"/>
      </w:pPr>
      <w:r>
        <w:rPr>
          <w:rFonts w:asciiTheme="minorHAnsi" w:eastAsia="Times New Roman" w:hAnsiTheme="minorHAnsi" w:cstheme="minorHAnsi"/>
          <w:lang w:val="fr-FR" w:eastAsia="ar-SA"/>
        </w:rPr>
        <w:t xml:space="preserve">Date : </w:t>
      </w:r>
    </w:p>
    <w:sectPr>
      <w:headerReference w:type="default" r:id="rId16"/>
      <w:footerReference w:type="default" r:id="rId17"/>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ind w:left="720"/>
        <w:jc w:val="both"/>
        <w:rPr>
          <w:sz w:val="16"/>
          <w:szCs w:val="16"/>
        </w:rPr>
      </w:pPr>
      <w:r>
        <w:rPr>
          <w:rStyle w:val="Appelnotedebasdep"/>
        </w:rPr>
        <w:footnoteRef/>
      </w:r>
      <w:r>
        <w:t xml:space="preserve"> </w:t>
      </w:r>
      <w:r>
        <w:rPr>
          <w:sz w:val="16"/>
          <w:szCs w:val="16"/>
        </w:rPr>
        <w:t xml:space="preserve">Arrêté du </w:t>
      </w:r>
      <w:r>
        <w:rPr>
          <w:iCs/>
          <w:sz w:val="16"/>
          <w:szCs w:val="16"/>
        </w:rPr>
        <w:t>Gouvernement de la Communauté française du 15 mai 2014</w:t>
      </w:r>
      <w:r>
        <w:rPr>
          <w:i/>
          <w:iCs/>
          <w:sz w:val="16"/>
          <w:szCs w:val="16"/>
        </w:rPr>
        <w:t xml:space="preserve"> définissant les modalités d’introduction des demandes de restructuration d’établissements scolaires visant à l’émergence d’un établissement n’organisant que le 1</w:t>
      </w:r>
      <w:r>
        <w:rPr>
          <w:i/>
          <w:iCs/>
          <w:sz w:val="16"/>
          <w:szCs w:val="16"/>
          <w:vertAlign w:val="superscript"/>
        </w:rPr>
        <w:t>er</w:t>
      </w:r>
      <w:r>
        <w:rPr>
          <w:i/>
          <w:iCs/>
          <w:sz w:val="16"/>
          <w:szCs w:val="16"/>
        </w:rPr>
        <w:t xml:space="preserve"> degré, Moniteur du 27 août 2014, </w:t>
      </w:r>
      <w:r>
        <w:rPr>
          <w:iCs/>
          <w:sz w:val="16"/>
          <w:szCs w:val="16"/>
        </w:rPr>
        <w:t>applicable dès le  1</w:t>
      </w:r>
      <w:r>
        <w:rPr>
          <w:iCs/>
          <w:sz w:val="16"/>
          <w:szCs w:val="16"/>
          <w:vertAlign w:val="superscript"/>
        </w:rPr>
        <w:t>er</w:t>
      </w:r>
      <w:r>
        <w:rPr>
          <w:iCs/>
          <w:sz w:val="16"/>
          <w:szCs w:val="16"/>
        </w:rPr>
        <w:t xml:space="preserve"> septembre 2014.</w:t>
      </w:r>
    </w:p>
    <w:p>
      <w:pPr>
        <w:pStyle w:val="Notedebasdepage"/>
        <w:rPr>
          <w:sz w:val="16"/>
          <w:szCs w:val="16"/>
        </w:rPr>
      </w:pPr>
    </w:p>
  </w:footnote>
  <w:footnote w:id="2">
    <w:p>
      <w:pPr>
        <w:pStyle w:val="Notedebasdepage"/>
        <w:rPr>
          <w:lang w:val="fr-BE"/>
        </w:rPr>
      </w:pPr>
      <w:r>
        <w:rPr>
          <w:rStyle w:val="Appelnotedebasdep"/>
          <w:color w:val="FF0000"/>
        </w:rPr>
        <w:footnoteRef/>
      </w:r>
      <w:r>
        <w:rPr>
          <w:color w:val="FF0000"/>
        </w:rPr>
        <w:t xml:space="preserve"> Sous réserve de confirmation du calendrier scolaire 2024-2025 par arrêté du Gouvernement, le mardi gras devrait coïncider avec le congé de détente (carnaval); cette dérogation serait par conséquent sans objet pour l’année scolaire considérée.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 w:val="24"/>
        <w:szCs w:val="24"/>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97F6E"/>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35A2240"/>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2E506F8B"/>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31A007E9"/>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43F1B7E"/>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5" w15:restartNumberingAfterBreak="0">
    <w:nsid w:val="3ACF4C1F"/>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6" w15:restartNumberingAfterBreak="0">
    <w:nsid w:val="3F695466"/>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3DE5A71"/>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A641B84"/>
    <w:multiLevelType w:val="hybridMultilevel"/>
    <w:tmpl w:val="42C6386A"/>
    <w:lvl w:ilvl="0" w:tplc="080C0001">
      <w:start w:val="1"/>
      <w:numFmt w:val="bullet"/>
      <w:lvlText w:val=""/>
      <w:lvlJc w:val="left"/>
      <w:pPr>
        <w:ind w:left="1140" w:hanging="360"/>
      </w:pPr>
      <w:rPr>
        <w:rFonts w:ascii="Symbol" w:hAnsi="Symbol" w:hint="default"/>
      </w:rPr>
    </w:lvl>
    <w:lvl w:ilvl="1" w:tplc="080C0003">
      <w:start w:val="1"/>
      <w:numFmt w:val="bullet"/>
      <w:lvlText w:val="o"/>
      <w:lvlJc w:val="left"/>
      <w:pPr>
        <w:ind w:left="1860" w:hanging="360"/>
      </w:pPr>
      <w:rPr>
        <w:rFonts w:ascii="Courier New" w:hAnsi="Courier New" w:hint="default"/>
      </w:rPr>
    </w:lvl>
    <w:lvl w:ilvl="2" w:tplc="080C0005" w:tentative="1">
      <w:start w:val="1"/>
      <w:numFmt w:val="bullet"/>
      <w:lvlText w:val=""/>
      <w:lvlJc w:val="left"/>
      <w:pPr>
        <w:ind w:left="2580" w:hanging="360"/>
      </w:pPr>
      <w:rPr>
        <w:rFonts w:ascii="Wingdings" w:hAnsi="Wingdings" w:hint="default"/>
      </w:rPr>
    </w:lvl>
    <w:lvl w:ilvl="3" w:tplc="080C0001" w:tentative="1">
      <w:start w:val="1"/>
      <w:numFmt w:val="bullet"/>
      <w:lvlText w:val=""/>
      <w:lvlJc w:val="left"/>
      <w:pPr>
        <w:ind w:left="3300" w:hanging="360"/>
      </w:pPr>
      <w:rPr>
        <w:rFonts w:ascii="Symbol" w:hAnsi="Symbol" w:hint="default"/>
      </w:rPr>
    </w:lvl>
    <w:lvl w:ilvl="4" w:tplc="080C0003" w:tentative="1">
      <w:start w:val="1"/>
      <w:numFmt w:val="bullet"/>
      <w:lvlText w:val="o"/>
      <w:lvlJc w:val="left"/>
      <w:pPr>
        <w:ind w:left="4020" w:hanging="360"/>
      </w:pPr>
      <w:rPr>
        <w:rFonts w:ascii="Courier New" w:hAnsi="Courier New" w:hint="default"/>
      </w:rPr>
    </w:lvl>
    <w:lvl w:ilvl="5" w:tplc="080C0005" w:tentative="1">
      <w:start w:val="1"/>
      <w:numFmt w:val="bullet"/>
      <w:lvlText w:val=""/>
      <w:lvlJc w:val="left"/>
      <w:pPr>
        <w:ind w:left="4740" w:hanging="360"/>
      </w:pPr>
      <w:rPr>
        <w:rFonts w:ascii="Wingdings" w:hAnsi="Wingdings" w:hint="default"/>
      </w:rPr>
    </w:lvl>
    <w:lvl w:ilvl="6" w:tplc="080C0001" w:tentative="1">
      <w:start w:val="1"/>
      <w:numFmt w:val="bullet"/>
      <w:lvlText w:val=""/>
      <w:lvlJc w:val="left"/>
      <w:pPr>
        <w:ind w:left="5460" w:hanging="360"/>
      </w:pPr>
      <w:rPr>
        <w:rFonts w:ascii="Symbol" w:hAnsi="Symbol" w:hint="default"/>
      </w:rPr>
    </w:lvl>
    <w:lvl w:ilvl="7" w:tplc="080C0003" w:tentative="1">
      <w:start w:val="1"/>
      <w:numFmt w:val="bullet"/>
      <w:lvlText w:val="o"/>
      <w:lvlJc w:val="left"/>
      <w:pPr>
        <w:ind w:left="6180" w:hanging="360"/>
      </w:pPr>
      <w:rPr>
        <w:rFonts w:ascii="Courier New" w:hAnsi="Courier New" w:hint="default"/>
      </w:rPr>
    </w:lvl>
    <w:lvl w:ilvl="8" w:tplc="080C0005" w:tentative="1">
      <w:start w:val="1"/>
      <w:numFmt w:val="bullet"/>
      <w:lvlText w:val=""/>
      <w:lvlJc w:val="left"/>
      <w:pPr>
        <w:ind w:left="6900" w:hanging="360"/>
      </w:pPr>
      <w:rPr>
        <w:rFonts w:ascii="Wingdings" w:hAnsi="Wingdings" w:hint="default"/>
      </w:rPr>
    </w:lvl>
  </w:abstractNum>
  <w:abstractNum w:abstractNumId="9" w15:restartNumberingAfterBreak="0">
    <w:nsid w:val="4F1D5DEF"/>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B80047C"/>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DCF1E66"/>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8"/>
  </w:num>
  <w:num w:numId="2">
    <w:abstractNumId w:val="5"/>
  </w:num>
  <w:num w:numId="3">
    <w:abstractNumId w:val="4"/>
  </w:num>
  <w:num w:numId="4">
    <w:abstractNumId w:val="1"/>
  </w:num>
  <w:num w:numId="5">
    <w:abstractNumId w:val="7"/>
  </w:num>
  <w:num w:numId="6">
    <w:abstractNumId w:val="9"/>
  </w:num>
  <w:num w:numId="7">
    <w:abstractNumId w:val="0"/>
  </w:num>
  <w:num w:numId="8">
    <w:abstractNumId w:val="10"/>
  </w:num>
  <w:num w:numId="9">
    <w:abstractNumId w:val="3"/>
  </w:num>
  <w:num w:numId="10">
    <w:abstractNumId w:val="2"/>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6220D-A5B7-43CD-9770-0B454EDA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pPr>
      <w:spacing w:after="0" w:line="240" w:lineRule="auto"/>
    </w:pPr>
    <w:rPr>
      <w:rFonts w:ascii="Times New Roman" w:eastAsia="Times New Roman" w:hAnsi="Times New Roman"/>
      <w:sz w:val="20"/>
      <w:szCs w:val="20"/>
      <w:lang w:val="fr-FR" w:eastAsia="fr-FR"/>
    </w:rPr>
  </w:style>
  <w:style w:type="character" w:customStyle="1" w:styleId="NotedebasdepageCar">
    <w:name w:val="Note de bas de page Car"/>
    <w:link w:val="Notedebasdepage"/>
    <w:semiHidden/>
    <w:rPr>
      <w:rFonts w:ascii="Times New Roman" w:eastAsia="Times New Roman" w:hAnsi="Times New Roman"/>
      <w:lang w:val="fr-FR" w:eastAsia="fr-FR"/>
    </w:rPr>
  </w:style>
  <w:style w:type="character" w:styleId="Appelnotedebasdep">
    <w:name w:val="footnote reference"/>
    <w:uiPriority w:val="99"/>
    <w:rPr>
      <w:vertAlign w:val="superscript"/>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paragraph" w:styleId="Pieddepage">
    <w:name w:val="footer"/>
    <w:basedOn w:val="Normal"/>
    <w:link w:val="PieddepageCar"/>
    <w:uiPriority w:val="99"/>
    <w:semiHidden/>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Pr>
      <w:sz w:val="22"/>
      <w:szCs w:val="22"/>
      <w:lang w:eastAsia="en-US"/>
    </w:rPr>
  </w:style>
  <w:style w:type="paragraph" w:styleId="En-tte">
    <w:name w:val="header"/>
    <w:basedOn w:val="Normal"/>
    <w:link w:val="En-tteCar"/>
    <w:uiPriority w:val="99"/>
    <w:pPr>
      <w:tabs>
        <w:tab w:val="center" w:pos="4536"/>
        <w:tab w:val="right" w:pos="9072"/>
      </w:tabs>
      <w:suppressAutoHyphens/>
      <w:spacing w:after="0" w:line="240" w:lineRule="auto"/>
    </w:pPr>
    <w:rPr>
      <w:rFonts w:ascii="Times New Roman" w:eastAsia="Times New Roman" w:hAnsi="Times New Roman"/>
      <w:sz w:val="20"/>
      <w:szCs w:val="20"/>
      <w:lang w:val="fr-FR" w:eastAsia="ar-SA"/>
    </w:rPr>
  </w:style>
  <w:style w:type="character" w:customStyle="1" w:styleId="En-tteCar">
    <w:name w:val="En-tête Car"/>
    <w:basedOn w:val="Policepardfaut"/>
    <w:link w:val="En-tte"/>
    <w:uiPriority w:val="99"/>
    <w:rPr>
      <w:rFonts w:ascii="Times New Roman" w:eastAsia="Times New Roman" w:hAnsi="Times New Roman"/>
      <w:lang w:val="fr-FR" w:eastAsia="ar-SA"/>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ructures.secondaire.ordi@cfwb.be" TargetMode="External"/><Relationship Id="rId13" Type="http://schemas.openxmlformats.org/officeDocument/2006/relationships/hyperlink" Target="mailto:structures.secondaire.ordi@cfwb.b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ructures.secondaire.ordi@cfwb.b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ructures.secondaire.ordi@cfwb.be" TargetMode="External"/><Relationship Id="rId5" Type="http://schemas.openxmlformats.org/officeDocument/2006/relationships/webSettings" Target="webSettings.xml"/><Relationship Id="rId15" Type="http://schemas.openxmlformats.org/officeDocument/2006/relationships/hyperlink" Target="file:///C:\Users\ekouso01\AppData\Local\Microsoft\Windows\INetCache\Content.Outlook\VOSDYDAH\encadrement.secondaire.ordinaire@cfwb.be" TargetMode="External"/><Relationship Id="rId10" Type="http://schemas.openxmlformats.org/officeDocument/2006/relationships/hyperlink" Target="mailto:structures.secondaire.ordi@cfwb.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tructures.secondaire.ordi@cfwb.be" TargetMode="External"/><Relationship Id="rId14" Type="http://schemas.openxmlformats.org/officeDocument/2006/relationships/hyperlink" Target="mailto:structures.secondaire.ordi@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DB64E-7CF9-4FE6-B651-7B297068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2421</Words>
  <Characters>13320</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15710</CharactersWithSpaces>
  <SharedDoc>false</SharedDoc>
  <HLinks>
    <vt:vector size="54" baseType="variant">
      <vt:variant>
        <vt:i4>7405660</vt:i4>
      </vt:variant>
      <vt:variant>
        <vt:i4>24</vt:i4>
      </vt:variant>
      <vt:variant>
        <vt:i4>0</vt:i4>
      </vt:variant>
      <vt:variant>
        <vt:i4>5</vt:i4>
      </vt:variant>
      <vt:variant>
        <vt:lpwstr>mailto:structures.secondaire.ordi@cfwb.be</vt:lpwstr>
      </vt:variant>
      <vt:variant>
        <vt:lpwstr/>
      </vt:variant>
      <vt:variant>
        <vt:i4>7405660</vt:i4>
      </vt:variant>
      <vt:variant>
        <vt:i4>21</vt:i4>
      </vt:variant>
      <vt:variant>
        <vt:i4>0</vt:i4>
      </vt:variant>
      <vt:variant>
        <vt:i4>5</vt:i4>
      </vt:variant>
      <vt:variant>
        <vt:lpwstr>mailto:structures.secondaire.ordi@cfwb.be</vt:lpwstr>
      </vt:variant>
      <vt:variant>
        <vt:lpwstr/>
      </vt:variant>
      <vt:variant>
        <vt:i4>7405660</vt:i4>
      </vt:variant>
      <vt:variant>
        <vt:i4>18</vt:i4>
      </vt:variant>
      <vt:variant>
        <vt:i4>0</vt:i4>
      </vt:variant>
      <vt:variant>
        <vt:i4>5</vt:i4>
      </vt:variant>
      <vt:variant>
        <vt:lpwstr>mailto:structures.secondaire.ordi@cfwb.be</vt:lpwstr>
      </vt:variant>
      <vt:variant>
        <vt:lpwstr/>
      </vt:variant>
      <vt:variant>
        <vt:i4>7405660</vt:i4>
      </vt:variant>
      <vt:variant>
        <vt:i4>15</vt:i4>
      </vt:variant>
      <vt:variant>
        <vt:i4>0</vt:i4>
      </vt:variant>
      <vt:variant>
        <vt:i4>5</vt:i4>
      </vt:variant>
      <vt:variant>
        <vt:lpwstr>mailto:structures.secondaire.ordi@cfwb.be</vt:lpwstr>
      </vt:variant>
      <vt:variant>
        <vt:lpwstr/>
      </vt:variant>
      <vt:variant>
        <vt:i4>7405660</vt:i4>
      </vt:variant>
      <vt:variant>
        <vt:i4>12</vt:i4>
      </vt:variant>
      <vt:variant>
        <vt:i4>0</vt:i4>
      </vt:variant>
      <vt:variant>
        <vt:i4>5</vt:i4>
      </vt:variant>
      <vt:variant>
        <vt:lpwstr>mailto:structures.secondaire.ordi@cfwb.be</vt:lpwstr>
      </vt:variant>
      <vt:variant>
        <vt:lpwstr/>
      </vt:variant>
      <vt:variant>
        <vt:i4>7405660</vt:i4>
      </vt:variant>
      <vt:variant>
        <vt:i4>9</vt:i4>
      </vt:variant>
      <vt:variant>
        <vt:i4>0</vt:i4>
      </vt:variant>
      <vt:variant>
        <vt:i4>5</vt:i4>
      </vt:variant>
      <vt:variant>
        <vt:lpwstr>mailto:structures.secondaire.ordi@cfwb.be</vt:lpwstr>
      </vt:variant>
      <vt:variant>
        <vt:lpwstr/>
      </vt:variant>
      <vt:variant>
        <vt:i4>7405660</vt:i4>
      </vt:variant>
      <vt:variant>
        <vt:i4>6</vt:i4>
      </vt:variant>
      <vt:variant>
        <vt:i4>0</vt:i4>
      </vt:variant>
      <vt:variant>
        <vt:i4>5</vt:i4>
      </vt:variant>
      <vt:variant>
        <vt:lpwstr>mailto:structures.secondaire.ordi@cfwb.be</vt:lpwstr>
      </vt:variant>
      <vt:variant>
        <vt:lpwstr/>
      </vt:variant>
      <vt:variant>
        <vt:i4>7405660</vt:i4>
      </vt:variant>
      <vt:variant>
        <vt:i4>3</vt:i4>
      </vt:variant>
      <vt:variant>
        <vt:i4>0</vt:i4>
      </vt:variant>
      <vt:variant>
        <vt:i4>5</vt:i4>
      </vt:variant>
      <vt:variant>
        <vt:lpwstr>mailto:structures.secondaire.ordi@cfwb.be</vt:lpwstr>
      </vt:variant>
      <vt:variant>
        <vt:lpwstr/>
      </vt:variant>
      <vt:variant>
        <vt:i4>7405660</vt:i4>
      </vt:variant>
      <vt:variant>
        <vt:i4>0</vt:i4>
      </vt:variant>
      <vt:variant>
        <vt:i4>0</vt:i4>
      </vt:variant>
      <vt:variant>
        <vt:i4>5</vt:i4>
      </vt:variant>
      <vt:variant>
        <vt:lpwstr>mailto:structures.secondaire.ordi@cfwb.be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DUBUCQ Sylvain</dc:creator>
  <cp:keywords/>
  <dc:description/>
  <cp:lastModifiedBy>DUBUCQ Sylvain</cp:lastModifiedBy>
  <cp:revision>4</cp:revision>
  <dcterms:created xsi:type="dcterms:W3CDTF">2024-02-12T15:41:00Z</dcterms:created>
  <dcterms:modified xsi:type="dcterms:W3CDTF">2024-03-08T08:48:00Z</dcterms:modified>
</cp:coreProperties>
</file>